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DA8D6" w14:textId="5606A656" w:rsidR="00066BD0" w:rsidRPr="00C77242" w:rsidRDefault="007601C5" w:rsidP="00066BD0">
      <w:pPr>
        <w:tabs>
          <w:tab w:val="left" w:pos="11250"/>
        </w:tabs>
        <w:ind w:right="990"/>
        <w:jc w:val="right"/>
        <w:rPr>
          <w:b/>
        </w:rPr>
      </w:pPr>
      <w:r>
        <w:rPr>
          <w:b/>
        </w:rPr>
        <w:br/>
      </w:r>
      <w:r w:rsidR="00AF1930">
        <w:rPr>
          <w:b/>
        </w:rPr>
        <w:t xml:space="preserve">   </w:t>
      </w:r>
      <w:r w:rsidR="00233B55" w:rsidRPr="00C77242">
        <w:rPr>
          <w:b/>
        </w:rPr>
        <w:t>Feature Article</w:t>
      </w:r>
    </w:p>
    <w:p w14:paraId="645311C7" w14:textId="112F877A" w:rsidR="004035BD" w:rsidRPr="00C77242" w:rsidRDefault="00AF1930" w:rsidP="00066BD0">
      <w:pPr>
        <w:tabs>
          <w:tab w:val="left" w:pos="11250"/>
        </w:tabs>
        <w:ind w:right="990"/>
        <w:jc w:val="right"/>
        <w:rPr>
          <w:b/>
        </w:rPr>
      </w:pPr>
      <w:r>
        <w:rPr>
          <w:b/>
        </w:rPr>
        <w:t xml:space="preserve">   </w:t>
      </w:r>
      <w:r w:rsidR="00B62FE1">
        <w:rPr>
          <w:b/>
        </w:rPr>
        <w:t xml:space="preserve">April </w:t>
      </w:r>
      <w:r w:rsidR="0037063D">
        <w:rPr>
          <w:b/>
        </w:rPr>
        <w:t>30</w:t>
      </w:r>
      <w:r w:rsidR="00233B55" w:rsidRPr="00C77242">
        <w:rPr>
          <w:b/>
        </w:rPr>
        <w:t xml:space="preserve">, </w:t>
      </w:r>
      <w:r w:rsidR="00066BD0" w:rsidRPr="00C77242">
        <w:rPr>
          <w:b/>
        </w:rPr>
        <w:t>20</w:t>
      </w:r>
      <w:r w:rsidR="00314799" w:rsidRPr="00C77242">
        <w:rPr>
          <w:b/>
        </w:rPr>
        <w:t>2</w:t>
      </w:r>
      <w:r w:rsidR="001B1F98">
        <w:rPr>
          <w:b/>
        </w:rPr>
        <w:t>6</w:t>
      </w:r>
    </w:p>
    <w:p w14:paraId="490F8381" w14:textId="77777777" w:rsidR="00BD3482" w:rsidRDefault="00BD3482" w:rsidP="00892100">
      <w:pPr>
        <w:ind w:left="1560"/>
        <w:rPr>
          <w:b/>
        </w:rPr>
      </w:pPr>
    </w:p>
    <w:p w14:paraId="4D42A216" w14:textId="6405CA72" w:rsidR="00B62FE1" w:rsidRDefault="0037063D" w:rsidP="00BD3482">
      <w:pPr>
        <w:ind w:left="1440"/>
        <w:rPr>
          <w:rFonts w:ascii="Lucida Bright" w:hAnsi="Lucida Bright"/>
          <w:b/>
          <w:bCs/>
          <w:sz w:val="36"/>
          <w:szCs w:val="36"/>
        </w:rPr>
      </w:pPr>
      <w:r>
        <w:rPr>
          <w:rFonts w:ascii="Lucida Bright" w:hAnsi="Lucida Bright"/>
          <w:b/>
          <w:bCs/>
          <w:sz w:val="36"/>
          <w:szCs w:val="36"/>
        </w:rPr>
        <w:t>Georgia’s Technology</w:t>
      </w:r>
      <w:r w:rsidR="00B62FE1">
        <w:rPr>
          <w:rFonts w:ascii="Lucida Bright" w:hAnsi="Lucida Bright"/>
          <w:b/>
          <w:bCs/>
          <w:sz w:val="36"/>
          <w:szCs w:val="36"/>
        </w:rPr>
        <w:t xml:space="preserve"> </w:t>
      </w:r>
      <w:r>
        <w:rPr>
          <w:rFonts w:ascii="Lucida Bright" w:hAnsi="Lucida Bright"/>
          <w:b/>
          <w:bCs/>
          <w:sz w:val="36"/>
          <w:szCs w:val="36"/>
        </w:rPr>
        <w:t>Export Sector: Growth Drivers and Structural Constraints</w:t>
      </w:r>
    </w:p>
    <w:p w14:paraId="1DC6CA68" w14:textId="020CF4FF" w:rsidR="00B62FE1" w:rsidRDefault="0037063D" w:rsidP="00DE1E68">
      <w:pPr>
        <w:tabs>
          <w:tab w:val="center" w:pos="6840"/>
        </w:tabs>
        <w:ind w:left="1440" w:right="2317"/>
        <w:rPr>
          <w:rFonts w:ascii="Lucida Bright" w:hAnsi="Lucida Bright"/>
          <w:i/>
        </w:rPr>
      </w:pPr>
      <w:r>
        <w:rPr>
          <w:rFonts w:ascii="Lucida Bright" w:hAnsi="Lucida Bright"/>
          <w:i/>
        </w:rPr>
        <w:t xml:space="preserve">By </w:t>
      </w:r>
      <w:r w:rsidRPr="0037063D">
        <w:rPr>
          <w:rFonts w:ascii="Lucida Bright" w:hAnsi="Lucida Bright"/>
          <w:i/>
        </w:rPr>
        <w:t>Giorgi Tsikolia</w:t>
      </w:r>
    </w:p>
    <w:p w14:paraId="47E58609" w14:textId="77777777" w:rsidR="0037063D" w:rsidRDefault="0037063D" w:rsidP="00DE1E68">
      <w:pPr>
        <w:tabs>
          <w:tab w:val="center" w:pos="6840"/>
        </w:tabs>
        <w:ind w:left="1440" w:right="2317"/>
        <w:rPr>
          <w:i/>
          <w:iCs/>
          <w:color w:val="000000"/>
          <w:sz w:val="22"/>
          <w:szCs w:val="22"/>
        </w:rPr>
      </w:pPr>
    </w:p>
    <w:p w14:paraId="1F8C3F9E" w14:textId="62EC066B" w:rsidR="00BD3482" w:rsidRPr="0037063D" w:rsidRDefault="0037063D" w:rsidP="00BD3482">
      <w:pPr>
        <w:tabs>
          <w:tab w:val="center" w:pos="6840"/>
        </w:tabs>
        <w:ind w:left="1440" w:right="2317"/>
        <w:rPr>
          <w:i/>
          <w:iCs/>
          <w:color w:val="000000"/>
          <w:sz w:val="22"/>
          <w:szCs w:val="22"/>
        </w:rPr>
      </w:pPr>
      <w:r w:rsidRPr="0037063D">
        <w:rPr>
          <w:i/>
          <w:iCs/>
          <w:color w:val="000000"/>
          <w:sz w:val="22"/>
          <w:szCs w:val="22"/>
        </w:rPr>
        <w:t>In 2025, Georgia’s information technology sector generated $1.15 billion in export revenue—a 67 percent increase year-on-year and more than a thirteen-fold rise from the sector’s 2017 baselin</w:t>
      </w:r>
      <w:r>
        <w:rPr>
          <w:i/>
          <w:iCs/>
          <w:color w:val="000000"/>
          <w:sz w:val="22"/>
          <w:szCs w:val="22"/>
        </w:rPr>
        <w:t>e</w:t>
      </w:r>
      <w:r w:rsidR="00CB2468">
        <w:rPr>
          <w:i/>
          <w:iCs/>
          <w:color w:val="000000"/>
          <w:sz w:val="22"/>
          <w:szCs w:val="22"/>
        </w:rPr>
        <w:t>.</w:t>
      </w:r>
      <w:r w:rsidR="00BE3350">
        <w:rPr>
          <w:rStyle w:val="FootnoteReference"/>
          <w:i/>
          <w:iCs/>
          <w:color w:val="000000"/>
          <w:sz w:val="22"/>
          <w:szCs w:val="22"/>
        </w:rPr>
        <w:footnoteReference w:id="1"/>
      </w:r>
      <w:r w:rsidR="00CB2468">
        <w:rPr>
          <w:i/>
          <w:iCs/>
          <w:color w:val="000000"/>
          <w:sz w:val="22"/>
          <w:szCs w:val="22"/>
        </w:rPr>
        <w:t xml:space="preserve"> </w:t>
      </w:r>
      <w:r w:rsidRPr="0037063D">
        <w:rPr>
          <w:i/>
          <w:iCs/>
          <w:color w:val="000000"/>
          <w:sz w:val="22"/>
          <w:szCs w:val="22"/>
        </w:rPr>
        <w:t>This paper traces the policy, diplomatic, and private-sector decisions that produced that outcome. It then examines three constraints—labor market restrictions on foreign workers, the absence of government as a technology customer, and Georgia’s exclusion from U.S.-led AI infrastructure investment—that directly affect whether the sector’s growth continues.</w:t>
      </w:r>
    </w:p>
    <w:p w14:paraId="767C4589" w14:textId="77777777" w:rsidR="0037063D" w:rsidRPr="00BD3482" w:rsidRDefault="0037063D" w:rsidP="00BD3482">
      <w:pPr>
        <w:tabs>
          <w:tab w:val="center" w:pos="6840"/>
        </w:tabs>
        <w:ind w:left="1440" w:right="2317"/>
        <w:rPr>
          <w:i/>
          <w:iCs/>
          <w:color w:val="000000"/>
          <w:sz w:val="22"/>
          <w:szCs w:val="22"/>
        </w:rPr>
      </w:pPr>
    </w:p>
    <w:p w14:paraId="3D6C665B" w14:textId="32F5E0DE" w:rsidR="00B01CD3" w:rsidRPr="00B62FE1" w:rsidRDefault="0037063D" w:rsidP="00B01CD3">
      <w:pPr>
        <w:keepNext/>
        <w:framePr w:dropCap="drop" w:lines="3" w:h="1351" w:hRule="exact" w:wrap="around" w:vAnchor="text" w:hAnchor="page" w:x="861" w:y="364"/>
        <w:spacing w:line="1351" w:lineRule="exact"/>
        <w:textAlignment w:val="baseline"/>
        <w:rPr>
          <w:rFonts w:ascii="Palatino Linotype" w:hAnsi="Palatino Linotype"/>
          <w:position w:val="6"/>
        </w:rPr>
      </w:pPr>
      <w:r>
        <w:rPr>
          <w:rFonts w:ascii="A" w:hAnsi="A"/>
          <w:position w:val="6"/>
          <w:sz w:val="137"/>
        </w:rPr>
        <w:t>I</w:t>
      </w:r>
    </w:p>
    <w:p w14:paraId="261C10D4" w14:textId="5E2E104C" w:rsidR="009026CC" w:rsidRPr="00B62FE1" w:rsidRDefault="005554E1" w:rsidP="00BD3482">
      <w:pPr>
        <w:tabs>
          <w:tab w:val="center" w:pos="6840"/>
        </w:tabs>
        <w:ind w:right="2317"/>
        <w:rPr>
          <w:rFonts w:ascii="Palatino Linotype" w:hAnsi="Palatino Linotype"/>
        </w:rPr>
      </w:pPr>
      <w:r w:rsidRPr="00B62FE1">
        <w:rPr>
          <w:rFonts w:ascii="Palatino Linotype" w:hAnsi="Palatino Linotype"/>
          <w:i/>
          <w:iCs/>
          <w:noProof/>
          <w:lang w:val="en"/>
        </w:rPr>
        <mc:AlternateContent>
          <mc:Choice Requires="wps">
            <w:drawing>
              <wp:anchor distT="45720" distB="45720" distL="114300" distR="114300" simplePos="0" relativeHeight="251659264" behindDoc="0" locked="0" layoutInCell="1" allowOverlap="1" wp14:anchorId="36012524" wp14:editId="56412DDC">
                <wp:simplePos x="0" y="0"/>
                <wp:positionH relativeFrom="margin">
                  <wp:posOffset>2168525</wp:posOffset>
                </wp:positionH>
                <wp:positionV relativeFrom="paragraph">
                  <wp:posOffset>10160</wp:posOffset>
                </wp:positionV>
                <wp:extent cx="3297555" cy="2312035"/>
                <wp:effectExtent l="0" t="0" r="444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7555" cy="2312035"/>
                        </a:xfrm>
                        <a:prstGeom prst="rect">
                          <a:avLst/>
                        </a:prstGeom>
                        <a:solidFill>
                          <a:srgbClr val="FFFFFF"/>
                        </a:solidFill>
                        <a:ln w="9525">
                          <a:noFill/>
                          <a:miter lim="800000"/>
                          <a:headEnd/>
                          <a:tailEnd/>
                        </a:ln>
                      </wps:spPr>
                      <wps:txbx>
                        <w:txbxContent>
                          <w:p w14:paraId="441A529D" w14:textId="134CEA92" w:rsidR="006E0E61" w:rsidRDefault="005554E1" w:rsidP="005554E1">
                            <w:pPr>
                              <w:jc w:val="center"/>
                              <w:rPr>
                                <w:i/>
                                <w:iCs/>
                                <w:sz w:val="16"/>
                                <w:szCs w:val="16"/>
                              </w:rPr>
                            </w:pPr>
                            <w:r w:rsidRPr="005554E1">
                              <w:rPr>
                                <w:noProof/>
                                <w:sz w:val="18"/>
                                <w:szCs w:val="18"/>
                              </w:rPr>
                              <w:drawing>
                                <wp:inline distT="0" distB="0" distL="0" distR="0" wp14:anchorId="73E85070" wp14:editId="5B6D0BD1">
                                  <wp:extent cx="2939415" cy="1866265"/>
                                  <wp:effectExtent l="0" t="0" r="0" b="635"/>
                                  <wp:docPr id="7355796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579646" name="Picture 4"/>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939922" cy="1866587"/>
                                          </a:xfrm>
                                          <a:prstGeom prst="rect">
                                            <a:avLst/>
                                          </a:prstGeom>
                                          <a:noFill/>
                                          <a:ln>
                                            <a:noFill/>
                                          </a:ln>
                                        </pic:spPr>
                                      </pic:pic>
                                    </a:graphicData>
                                  </a:graphic>
                                </wp:inline>
                              </w:drawing>
                            </w:r>
                            <w:r w:rsidRPr="005554E1">
                              <w:rPr>
                                <w:sz w:val="18"/>
                                <w:szCs w:val="18"/>
                              </w:rPr>
                              <w:br/>
                            </w:r>
                            <w:r w:rsidR="00CB2468" w:rsidRPr="00CB2468">
                              <w:rPr>
                                <w:i/>
                                <w:iCs/>
                                <w:sz w:val="16"/>
                                <w:szCs w:val="16"/>
                              </w:rPr>
                              <w:t>Sunny landscape of old Tbilisi and Metekhi Church on the background of blue cloudy sky</w:t>
                            </w:r>
                          </w:p>
                          <w:p w14:paraId="09C105D7" w14:textId="05590B7C" w:rsidR="005554E1" w:rsidRPr="005554E1" w:rsidRDefault="006E0E61" w:rsidP="005554E1">
                            <w:pPr>
                              <w:jc w:val="center"/>
                              <w:rPr>
                                <w:i/>
                                <w:iCs/>
                                <w:sz w:val="18"/>
                                <w:szCs w:val="18"/>
                              </w:rPr>
                            </w:pPr>
                            <w:r>
                              <w:rPr>
                                <w:i/>
                                <w:iCs/>
                                <w:sz w:val="16"/>
                                <w:szCs w:val="16"/>
                              </w:rPr>
                              <w:t>(Shutterstock)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012524" id="_x0000_t202" coordsize="21600,21600" o:spt="202" path="m,l,21600r21600,l21600,xe">
                <v:stroke joinstyle="miter"/>
                <v:path gradientshapeok="t" o:connecttype="rect"/>
              </v:shapetype>
              <v:shape id="Text Box 2" o:spid="_x0000_s1026" type="#_x0000_t202" style="position:absolute;margin-left:170.75pt;margin-top:.8pt;width:259.65pt;height:182.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" stroked="f">
                <v:textbox>
                  <w:txbxContent>
                    <w:p w14:paraId="441A529D" w14:textId="134CEA92" w:rsidR="006E0E61" w:rsidRDefault="005554E1" w:rsidP="005554E1">
                      <w:pPr>
                        <w:jc w:val="center"/>
                        <w:rPr>
                          <w:i/>
                          <w:iCs/>
                          <w:sz w:val="16"/>
                          <w:szCs w:val="16"/>
                        </w:rPr>
                      </w:pPr>
                      <w:r w:rsidRPr="005554E1">
                        <w:rPr>
                          <w:noProof/>
                          <w:sz w:val="18"/>
                          <w:szCs w:val="18"/>
                        </w:rPr>
                        <w:drawing>
                          <wp:inline distT="0" distB="0" distL="0" distR="0" wp14:anchorId="73E85070" wp14:editId="5B6D0BD1">
                            <wp:extent cx="2939415" cy="1866265"/>
                            <wp:effectExtent l="0" t="0" r="0" b="635"/>
                            <wp:docPr id="7355796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579646" name="Picture 4"/>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939922" cy="1866587"/>
                                    </a:xfrm>
                                    <a:prstGeom prst="rect">
                                      <a:avLst/>
                                    </a:prstGeom>
                                    <a:noFill/>
                                    <a:ln>
                                      <a:noFill/>
                                    </a:ln>
                                  </pic:spPr>
                                </pic:pic>
                              </a:graphicData>
                            </a:graphic>
                          </wp:inline>
                        </w:drawing>
                      </w:r>
                      <w:r w:rsidRPr="005554E1">
                        <w:rPr>
                          <w:sz w:val="18"/>
                          <w:szCs w:val="18"/>
                        </w:rPr>
                        <w:br/>
                      </w:r>
                      <w:r w:rsidR="00CB2468" w:rsidRPr="00CB2468">
                        <w:rPr>
                          <w:i/>
                          <w:iCs/>
                          <w:sz w:val="16"/>
                          <w:szCs w:val="16"/>
                        </w:rPr>
                        <w:t>Sunny landscape of old Tbilisi and Metekhi Church on the background of blue cloudy sky</w:t>
                      </w:r>
                    </w:p>
                    <w:p w14:paraId="09C105D7" w14:textId="05590B7C" w:rsidR="005554E1" w:rsidRPr="005554E1" w:rsidRDefault="006E0E61" w:rsidP="005554E1">
                      <w:pPr>
                        <w:jc w:val="center"/>
                        <w:rPr>
                          <w:i/>
                          <w:iCs/>
                          <w:sz w:val="18"/>
                          <w:szCs w:val="18"/>
                        </w:rPr>
                      </w:pPr>
                      <w:r>
                        <w:rPr>
                          <w:i/>
                          <w:iCs/>
                          <w:sz w:val="16"/>
                          <w:szCs w:val="16"/>
                        </w:rPr>
                        <w:t>(Shutterstock)</w:t>
                      </w:r>
                    </w:p>
                  </w:txbxContent>
                </v:textbox>
                <w10:wrap type="square" anchorx="margin"/>
              </v:shape>
            </w:pict>
          </mc:Fallback>
        </mc:AlternateContent>
      </w:r>
    </w:p>
    <w:p w14:paraId="064A353F" w14:textId="09B76044" w:rsidR="004035BD" w:rsidRPr="00B62FE1" w:rsidRDefault="004035BD" w:rsidP="00B62FE1">
      <w:pPr>
        <w:rPr>
          <w:rFonts w:ascii="Palatino Linotype" w:hAnsi="Palatino Linotype"/>
        </w:rPr>
        <w:sectPr w:rsidR="004035BD" w:rsidRPr="00B62FE1" w:rsidSect="008D4425">
          <w:headerReference w:type="even" r:id="rId12"/>
          <w:headerReference w:type="default" r:id="rId13"/>
          <w:footerReference w:type="even" r:id="rId14"/>
          <w:footerReference w:type="default" r:id="rId15"/>
          <w:headerReference w:type="first" r:id="rId16"/>
          <w:footerReference w:type="first" r:id="rId17"/>
          <w:pgSz w:w="12240" w:h="15840" w:code="1"/>
          <w:pgMar w:top="0" w:right="0" w:bottom="720" w:left="0" w:header="144" w:footer="144" w:gutter="0"/>
          <w:cols w:space="720"/>
          <w:titlePg/>
          <w:docGrid w:linePitch="360"/>
          <w15:footnoteColumns w:val="2"/>
        </w:sectPr>
      </w:pPr>
    </w:p>
    <w:p w14:paraId="58FF7F01" w14:textId="4F3EB03E" w:rsidR="0037063D" w:rsidRPr="0037063D" w:rsidRDefault="0037063D" w:rsidP="0037063D">
      <w:pPr>
        <w:pStyle w:val="NormalWeb"/>
        <w:spacing w:before="0" w:beforeAutospacing="0" w:after="200" w:afterAutospacing="0"/>
        <w:rPr>
          <w:rFonts w:ascii="Palatino Linotype" w:eastAsia="Times New Roman" w:hAnsi="Palatino Linotype"/>
          <w:lang w:val="en-US" w:eastAsia="en-US"/>
        </w:rPr>
      </w:pPr>
      <w:r w:rsidRPr="0037063D">
        <w:rPr>
          <w:rFonts w:ascii="Palatino Linotype" w:hAnsi="Palatino Linotype"/>
          <w:color w:val="000000"/>
        </w:rPr>
        <w:t xml:space="preserve">T </w:t>
      </w:r>
      <w:r w:rsidRPr="0037063D">
        <w:rPr>
          <w:rFonts w:ascii="Palatino Linotype" w:eastAsia="Times New Roman" w:hAnsi="Palatino Linotype"/>
          <w:color w:val="111827"/>
          <w:lang w:val="en-US" w:eastAsia="en-US"/>
        </w:rPr>
        <w:t>export revenue reached $1.15 billion in 2025, up from $688 million in 2024 and $784 million in 2023. The broader information and communications sector grew by 28.7 percent in 2025. Employment in the sector rose from approximately 30,600 in 2021 to 54,500 by the end of 2025.</w:t>
      </w:r>
      <w:r w:rsidR="0077513D">
        <w:rPr>
          <w:rStyle w:val="FootnoteReference"/>
          <w:rFonts w:ascii="Palatino Linotype" w:eastAsia="Times New Roman" w:hAnsi="Palatino Linotype"/>
          <w:color w:val="111827"/>
          <w:lang w:val="en-US" w:eastAsia="en-US"/>
        </w:rPr>
        <w:footnoteReference w:id="2"/>
      </w:r>
      <w:r w:rsidRPr="0037063D">
        <w:rPr>
          <w:rFonts w:ascii="Palatino Linotype" w:eastAsia="Times New Roman" w:hAnsi="Palatino Linotype"/>
          <w:color w:val="111827"/>
          <w:sz w:val="11"/>
          <w:szCs w:val="11"/>
          <w:vertAlign w:val="superscript"/>
          <w:lang w:val="en-US" w:eastAsia="en-US"/>
        </w:rPr>
        <w:t xml:space="preserve"> </w:t>
      </w:r>
      <w:r w:rsidR="00CB2468">
        <w:rPr>
          <w:rFonts w:ascii="Palatino Linotype" w:eastAsia="Times New Roman" w:hAnsi="Palatino Linotype"/>
          <w:color w:val="111827"/>
          <w:sz w:val="11"/>
          <w:szCs w:val="11"/>
          <w:vertAlign w:val="superscript"/>
          <w:lang w:val="en-US" w:eastAsia="en-US"/>
        </w:rPr>
        <w:t xml:space="preserve">  </w:t>
      </w:r>
      <w:r w:rsidRPr="0037063D">
        <w:rPr>
          <w:rFonts w:ascii="Palatino Linotype" w:eastAsia="Times New Roman" w:hAnsi="Palatino Linotype"/>
          <w:color w:val="111827"/>
          <w:lang w:val="en-US" w:eastAsia="en-US"/>
        </w:rPr>
        <w:t>For context, sector turnover stood at approximately $93 million in 2017 (at the 2017 annual average exchange rate of approximately 2.49 GEL per dollar), with a workforce numbering in the low thousands.</w:t>
      </w:r>
      <w:r w:rsidR="0077513D">
        <w:rPr>
          <w:rStyle w:val="FootnoteReference"/>
          <w:rFonts w:ascii="Palatino Linotype" w:eastAsia="Times New Roman" w:hAnsi="Palatino Linotype"/>
          <w:color w:val="111827"/>
          <w:lang w:val="en-US" w:eastAsia="en-US"/>
        </w:rPr>
        <w:footnoteReference w:id="3"/>
      </w:r>
      <w:r w:rsidRPr="0037063D">
        <w:rPr>
          <w:rFonts w:ascii="Palatino Linotype" w:eastAsia="Times New Roman" w:hAnsi="Palatino Linotype"/>
          <w:color w:val="111827"/>
          <w:lang w:val="en-US" w:eastAsia="en-US"/>
        </w:rPr>
        <w:t xml:space="preserve"> The compound annual growth rate between 2017 and 2023 was 37.9 percent</w:t>
      </w:r>
      <w:r w:rsidR="0077513D">
        <w:rPr>
          <w:rFonts w:ascii="Palatino Linotype" w:eastAsia="Times New Roman" w:hAnsi="Palatino Linotype"/>
          <w:color w:val="111827"/>
          <w:lang w:val="en-US" w:eastAsia="en-US"/>
        </w:rPr>
        <w:t>.</w:t>
      </w:r>
      <w:r w:rsidR="0077513D">
        <w:rPr>
          <w:rStyle w:val="FootnoteReference"/>
          <w:rFonts w:ascii="Palatino Linotype" w:eastAsia="Times New Roman" w:hAnsi="Palatino Linotype"/>
          <w:color w:val="111827"/>
          <w:lang w:val="en-US" w:eastAsia="en-US"/>
        </w:rPr>
        <w:footnoteReference w:id="4"/>
      </w:r>
    </w:p>
    <w:p w14:paraId="45F13943" w14:textId="14E6FFD5" w:rsidR="0037063D" w:rsidRDefault="0037063D" w:rsidP="0037063D">
      <w:pPr>
        <w:pStyle w:val="NormalWeb"/>
        <w:spacing w:before="0" w:beforeAutospacing="0" w:after="360" w:afterAutospacing="0"/>
        <w:jc w:val="left"/>
        <w:rPr>
          <w:rFonts w:ascii="Palatino Linotype" w:eastAsia="Times New Roman" w:hAnsi="Palatino Linotype"/>
          <w:color w:val="111827"/>
          <w:lang w:val="en-US" w:eastAsia="en-US"/>
        </w:rPr>
      </w:pPr>
      <w:r w:rsidRPr="0037063D">
        <w:rPr>
          <w:rFonts w:ascii="Palatino Linotype" w:eastAsia="Times New Roman" w:hAnsi="Palatino Linotype"/>
          <w:color w:val="111827"/>
          <w:lang w:val="en-US" w:eastAsia="en-US"/>
        </w:rPr>
        <w:t>The United States is the largest destination for Georgian IT exports, accounting for approximately 26 percent of the total,</w:t>
      </w:r>
      <w:r w:rsidR="0077513D">
        <w:rPr>
          <w:rStyle w:val="FootnoteReference"/>
          <w:rFonts w:ascii="Palatino Linotype" w:eastAsia="Times New Roman" w:hAnsi="Palatino Linotype"/>
          <w:color w:val="111827"/>
          <w:lang w:val="en-US" w:eastAsia="en-US"/>
        </w:rPr>
        <w:footnoteReference w:id="5"/>
      </w:r>
      <w:r w:rsidRPr="0037063D">
        <w:rPr>
          <w:rFonts w:ascii="Palatino Linotype" w:eastAsia="Times New Roman" w:hAnsi="Palatino Linotype"/>
          <w:color w:val="111827"/>
          <w:lang w:val="en-US" w:eastAsia="en-US"/>
        </w:rPr>
        <w:t xml:space="preserve"> followed by the United Kingdom at 15 percent and Malta at 11 percent. In 2023, 60 percent of IT companies operating in Georgia were established with foreign capital. U.S.-based technology companies alone have created an estimated 8,000 to 9,000 jobs in the country,</w:t>
      </w:r>
      <w:r w:rsidR="006274B0">
        <w:rPr>
          <w:rStyle w:val="FootnoteReference"/>
          <w:rFonts w:ascii="Palatino Linotype" w:eastAsia="Times New Roman" w:hAnsi="Palatino Linotype"/>
          <w:color w:val="111827"/>
          <w:lang w:val="en-US" w:eastAsia="en-US"/>
        </w:rPr>
        <w:footnoteReference w:id="6"/>
      </w:r>
      <w:r w:rsidRPr="0037063D">
        <w:rPr>
          <w:rFonts w:ascii="Palatino Linotype" w:eastAsia="Times New Roman" w:hAnsi="Palatino Linotype"/>
          <w:color w:val="111827"/>
          <w:lang w:val="en-US" w:eastAsia="en-US"/>
        </w:rPr>
        <w:t xml:space="preserve"> paying salaries roughly three times the national average and contributing approximately $740 million to $925 million annually to the Georgian economy.</w:t>
      </w:r>
    </w:p>
    <w:p w14:paraId="2B43D27D" w14:textId="2A67F4AF" w:rsidR="0037063D" w:rsidRPr="0036456A" w:rsidRDefault="0037063D" w:rsidP="0037063D">
      <w:pPr>
        <w:spacing w:after="60"/>
        <w:rPr>
          <w:rFonts w:ascii="Palatino Linotype" w:hAnsi="Palatino Linotype"/>
          <w:b/>
          <w:bCs/>
          <w:noProof/>
          <w:sz w:val="28"/>
          <w:szCs w:val="28"/>
        </w:rPr>
      </w:pPr>
      <w:r>
        <w:rPr>
          <w:rFonts w:ascii="Palatino Linotype" w:hAnsi="Palatino Linotype"/>
          <w:b/>
          <w:bCs/>
          <w:noProof/>
          <w:sz w:val="28"/>
          <w:szCs w:val="28"/>
        </w:rPr>
        <w:t xml:space="preserve">How The Sector Was Built </w:t>
      </w:r>
    </w:p>
    <w:p w14:paraId="5B2DFB1C" w14:textId="27AAF49E" w:rsidR="0037063D" w:rsidRDefault="0037063D" w:rsidP="00B62FE1">
      <w:pPr>
        <w:rPr>
          <w:rFonts w:ascii="Palatino Linotype" w:hAnsi="Palatino Linotype"/>
          <w:color w:val="111827"/>
        </w:rPr>
      </w:pPr>
      <w:r w:rsidRPr="0037063D">
        <w:rPr>
          <w:rFonts w:ascii="Palatino Linotype" w:hAnsi="Palatino Linotype"/>
          <w:b/>
          <w:bCs/>
          <w:color w:val="111827"/>
        </w:rPr>
        <w:t xml:space="preserve">Institutional foundation. </w:t>
      </w:r>
      <w:r w:rsidRPr="0037063D">
        <w:rPr>
          <w:rFonts w:ascii="Palatino Linotype" w:hAnsi="Palatino Linotype"/>
          <w:color w:val="111827"/>
        </w:rPr>
        <w:t>The Georgian Innovation and Technology Agency (GITA) was established in 2014 under the Ministry of Economy and supported by a $23.5 million World Bank grant through the Georgia National Innovation Ecosystem project.</w:t>
      </w:r>
      <w:r w:rsidR="006274B0">
        <w:rPr>
          <w:rStyle w:val="FootnoteReference"/>
          <w:rFonts w:ascii="Palatino Linotype" w:hAnsi="Palatino Linotype"/>
          <w:color w:val="111827"/>
        </w:rPr>
        <w:footnoteReference w:id="7"/>
      </w:r>
      <w:r w:rsidRPr="0037063D">
        <w:rPr>
          <w:rFonts w:ascii="Palatino Linotype" w:hAnsi="Palatino Linotype"/>
          <w:color w:val="111827"/>
        </w:rPr>
        <w:t xml:space="preserve"> Its mandate was to create conditions for a startup market: grant financing for early-stage ventures (up to approximately $55,000), matching grants for later-stage companies (up to approximately $240,000), and physical infrastructure, such as technoparks and incubators. By 2022, GITA had invested in more than 200 companies,</w:t>
      </w:r>
      <w:r w:rsidR="006274B0">
        <w:rPr>
          <w:rStyle w:val="FootnoteReference"/>
          <w:rFonts w:ascii="Palatino Linotype" w:hAnsi="Palatino Linotype"/>
          <w:color w:val="111827"/>
        </w:rPr>
        <w:footnoteReference w:id="8"/>
      </w:r>
      <w:r w:rsidRPr="0037063D">
        <w:rPr>
          <w:rFonts w:ascii="Palatino Linotype" w:hAnsi="Palatino Linotype"/>
          <w:color w:val="111827"/>
        </w:rPr>
        <w:t xml:space="preserve"> 37 of which raised approximately $130 million in follow-on capital.</w:t>
      </w:r>
    </w:p>
    <w:p w14:paraId="5C9B4B98" w14:textId="77777777" w:rsidR="0037063D" w:rsidRDefault="0037063D" w:rsidP="00B62FE1">
      <w:pPr>
        <w:rPr>
          <w:rFonts w:ascii="Palatino Linotype" w:hAnsi="Palatino Linotype"/>
          <w:color w:val="111827"/>
        </w:rPr>
      </w:pPr>
    </w:p>
    <w:p w14:paraId="163882D3" w14:textId="456055F3" w:rsidR="0037063D" w:rsidRDefault="0037063D" w:rsidP="00B62FE1">
      <w:pPr>
        <w:rPr>
          <w:rFonts w:ascii="Palatino Linotype" w:hAnsi="Palatino Linotype"/>
          <w:color w:val="111827"/>
        </w:rPr>
      </w:pPr>
      <w:r w:rsidRPr="0037063D">
        <w:rPr>
          <w:rFonts w:ascii="Palatino Linotype" w:hAnsi="Palatino Linotype"/>
          <w:b/>
          <w:bCs/>
          <w:color w:val="111827"/>
        </w:rPr>
        <w:t xml:space="preserve">Access to U.S. capital markets. </w:t>
      </w:r>
      <w:r w:rsidRPr="0037063D">
        <w:rPr>
          <w:rFonts w:ascii="Palatino Linotype" w:hAnsi="Palatino Linotype"/>
          <w:color w:val="111827"/>
        </w:rPr>
        <w:t>In May 2016, the Georgian government launched Start-up Georgia, a competitive program that selected Georgian startups for presentation to American investors in Silicon Valley. The program attracted 726 applicants in its first year; eight finalists pitched to approximately 50 investors in 2017.</w:t>
      </w:r>
      <w:r w:rsidR="006274B0">
        <w:rPr>
          <w:rStyle w:val="FootnoteReference"/>
          <w:rFonts w:ascii="Palatino Linotype" w:hAnsi="Palatino Linotype"/>
          <w:color w:val="111827"/>
        </w:rPr>
        <w:footnoteReference w:id="9"/>
      </w:r>
      <w:r w:rsidRPr="0037063D">
        <w:rPr>
          <w:rFonts w:ascii="Palatino Linotype" w:hAnsi="Palatino Linotype"/>
          <w:color w:val="111827"/>
        </w:rPr>
        <w:t xml:space="preserve"> The program established an annual engagement pattern that demonstrated sustained demand for a permanent presence for commercial diplomacy on the West Coast. Georgia’s Consulate General in San Francisco, opened in 2019, formalized that presence: maintaining investor relationships between annual events, co-hosting engagements with major U.S. technology firms, and coordinating with the embassy in Washington on commercial promotion. Having worked on this effort from Washington, I can say that the consulate’s continuity in San Francisco—maintaining relationships between annual events—was more valuable than the events themselves.</w:t>
      </w:r>
    </w:p>
    <w:p w14:paraId="0FE2B258" w14:textId="77777777" w:rsidR="0037063D" w:rsidRDefault="0037063D" w:rsidP="00B62FE1">
      <w:pPr>
        <w:rPr>
          <w:rFonts w:ascii="Palatino Linotype" w:hAnsi="Palatino Linotype"/>
          <w:color w:val="111827"/>
        </w:rPr>
      </w:pPr>
    </w:p>
    <w:p w14:paraId="70BBB348" w14:textId="16A96DC0" w:rsidR="0037063D" w:rsidRDefault="0037063D" w:rsidP="00B62FE1">
      <w:pPr>
        <w:rPr>
          <w:rFonts w:ascii="Palatino Linotype" w:hAnsi="Palatino Linotype"/>
          <w:color w:val="111827"/>
        </w:rPr>
      </w:pPr>
      <w:r w:rsidRPr="0037063D">
        <w:rPr>
          <w:rFonts w:ascii="Palatino Linotype" w:hAnsi="Palatino Linotype"/>
          <w:b/>
          <w:bCs/>
          <w:color w:val="111827"/>
        </w:rPr>
        <w:t xml:space="preserve">Tax framework. </w:t>
      </w:r>
      <w:r w:rsidRPr="0037063D">
        <w:rPr>
          <w:rFonts w:ascii="Palatino Linotype" w:hAnsi="Palatino Linotype"/>
          <w:color w:val="111827"/>
        </w:rPr>
        <w:t>The diplomatic and promotional work of 2016–2019 demonstrated that foreign technology companies needed more than access—they needed a tax and legal structure competitive enough to justify relocating operations rather than simply attending events. The most consequential single policy decision for the sector was Government Decree No. 619, issued October 8, 2020,</w:t>
      </w:r>
      <w:r w:rsidR="006274B0">
        <w:rPr>
          <w:rStyle w:val="FootnoteReference"/>
          <w:rFonts w:ascii="Palatino Linotype" w:hAnsi="Palatino Linotype"/>
          <w:color w:val="111827"/>
        </w:rPr>
        <w:footnoteReference w:id="10"/>
      </w:r>
      <w:r w:rsidRPr="0037063D">
        <w:rPr>
          <w:rFonts w:ascii="Palatino Linotype" w:hAnsi="Palatino Linotype"/>
          <w:color w:val="111827"/>
        </w:rPr>
        <w:t xml:space="preserve"> which created the International Company Status (ICS) for IT businesses. The ICS reduced the corporate income tax on distributed profits from 15 percent to 5 percent, the personal income tax for employees from 20 percent to 5 percent, and eliminated the dividend tax. EPAM Systems—a U.S.-listed software engineering company with revenues exceeding $4 billion—was among the first major American firms to establish operations in Georgia under the new regime, followed by Flat Rock Technology, FlashGrid, Exactpro Systems, and Lineate.</w:t>
      </w:r>
      <w:r w:rsidR="006274B0">
        <w:rPr>
          <w:rStyle w:val="FootnoteReference"/>
          <w:rFonts w:ascii="Palatino Linotype" w:hAnsi="Palatino Linotype"/>
          <w:color w:val="111827"/>
        </w:rPr>
        <w:footnoteReference w:id="11"/>
      </w:r>
    </w:p>
    <w:p w14:paraId="131E1D01" w14:textId="77777777" w:rsidR="0037063D" w:rsidRDefault="0037063D" w:rsidP="00B62FE1">
      <w:pPr>
        <w:rPr>
          <w:rFonts w:ascii="Palatino Linotype" w:hAnsi="Palatino Linotype"/>
          <w:color w:val="111827"/>
        </w:rPr>
      </w:pPr>
    </w:p>
    <w:p w14:paraId="3885FEFE" w14:textId="5150933C" w:rsidR="0037063D" w:rsidRDefault="0037063D" w:rsidP="00B62FE1">
      <w:pPr>
        <w:rPr>
          <w:rFonts w:ascii="Palatino Linotype" w:hAnsi="Palatino Linotype"/>
          <w:color w:val="111827"/>
        </w:rPr>
      </w:pPr>
      <w:r w:rsidRPr="0037063D">
        <w:rPr>
          <w:rFonts w:ascii="Palatino Linotype" w:hAnsi="Palatino Linotype"/>
          <w:b/>
          <w:bCs/>
          <w:color w:val="111827"/>
        </w:rPr>
        <w:t xml:space="preserve">Private-sector coordination. </w:t>
      </w:r>
      <w:r w:rsidRPr="0037063D">
        <w:rPr>
          <w:rFonts w:ascii="Palatino Linotype" w:hAnsi="Palatino Linotype"/>
          <w:color w:val="111827"/>
        </w:rPr>
        <w:t>EPAM and Lineate are members of the America–Georgia Business Council (AGBC),</w:t>
      </w:r>
      <w:r w:rsidR="006274B0">
        <w:rPr>
          <w:rStyle w:val="FootnoteReference"/>
          <w:rFonts w:ascii="Palatino Linotype" w:hAnsi="Palatino Linotype"/>
          <w:color w:val="111827"/>
        </w:rPr>
        <w:footnoteReference w:id="12"/>
      </w:r>
      <w:r w:rsidRPr="0037063D">
        <w:rPr>
          <w:rFonts w:ascii="Palatino Linotype" w:hAnsi="Palatino Linotype"/>
          <w:color w:val="111827"/>
        </w:rPr>
        <w:t xml:space="preserve"> a Washington-based organization that promotes bilateral commercial activity. The AGBC has served as an intermediary between U.S. companies evaluating Georgia as a location for operations and Georgian policymakers—a role that becomes particularly important when the broader U.S.–Georgia bilateral relationship is under strain. The ICT Association of Georgia (ICTA), founded in 2020, has taken on a parallel function domestically: aggregating private-sector positions on tax policy, labor regulation, and procurement, and coordinating with the AGBC on advocacy that requires engagement in both Tbilisi and Washington.</w:t>
      </w:r>
    </w:p>
    <w:p w14:paraId="53405502" w14:textId="77777777" w:rsidR="0037063D" w:rsidRDefault="0037063D" w:rsidP="00B62FE1">
      <w:pPr>
        <w:rPr>
          <w:rFonts w:ascii="Palatino Linotype" w:hAnsi="Palatino Linotype"/>
          <w:color w:val="111827"/>
        </w:rPr>
      </w:pPr>
    </w:p>
    <w:p w14:paraId="2994D111" w14:textId="08A28B21" w:rsidR="0037063D" w:rsidRDefault="0037063D" w:rsidP="00B62FE1">
      <w:pPr>
        <w:rPr>
          <w:rFonts w:ascii="Palatino Linotype" w:hAnsi="Palatino Linotype"/>
          <w:color w:val="111827"/>
        </w:rPr>
      </w:pPr>
      <w:r w:rsidRPr="0037063D">
        <w:rPr>
          <w:rFonts w:ascii="Palatino Linotype" w:hAnsi="Palatino Linotype"/>
          <w:b/>
          <w:bCs/>
          <w:color w:val="111827"/>
        </w:rPr>
        <w:t xml:space="preserve">The 2022 influx. </w:t>
      </w:r>
      <w:r w:rsidRPr="0037063D">
        <w:rPr>
          <w:rFonts w:ascii="Palatino Linotype" w:hAnsi="Palatino Linotype"/>
          <w:color w:val="111827"/>
        </w:rPr>
        <w:t>Russia’s invasion of Ukraine in February 2022 produced a large-scale relocation of technology companies and professionals out of Russia and Belarus. Georgia, along with Armenia, was a primary destination: visa-free for most nationalities, with a functioning banking system, low taxes, and English-language infrastructure adequate for remote work. The number of IT companies operating in Georgia rose from approximately 13,700 to over 24,100 between 2022 and 2024.</w:t>
      </w:r>
      <w:r w:rsidR="006274B0">
        <w:rPr>
          <w:rStyle w:val="FootnoteReference"/>
          <w:rFonts w:ascii="Palatino Linotype" w:hAnsi="Palatino Linotype"/>
          <w:color w:val="111827"/>
        </w:rPr>
        <w:footnoteReference w:id="13"/>
      </w:r>
      <w:r w:rsidRPr="0037063D">
        <w:rPr>
          <w:rFonts w:ascii="Palatino Linotype" w:hAnsi="Palatino Linotype"/>
          <w:color w:val="111827"/>
        </w:rPr>
        <w:t xml:space="preserve"> The employment and revenue figures for 2022–2025 reflect this influx as much as they reflect organic sector growth. The two should not be conflated: the former represents a one-time stock adjustment; the latter determines the sector’s baseline going forward.</w:t>
      </w:r>
    </w:p>
    <w:p w14:paraId="569925D6" w14:textId="77777777" w:rsidR="0037063D" w:rsidRDefault="0037063D" w:rsidP="00B62FE1">
      <w:pPr>
        <w:rPr>
          <w:rFonts w:ascii="Palatino Linotype" w:hAnsi="Palatino Linotype"/>
          <w:color w:val="111827"/>
        </w:rPr>
      </w:pPr>
    </w:p>
    <w:p w14:paraId="61E23DEE" w14:textId="18287597" w:rsidR="0037063D" w:rsidRDefault="0037063D" w:rsidP="0037063D">
      <w:pPr>
        <w:spacing w:after="60"/>
        <w:rPr>
          <w:rFonts w:ascii="Palatino Linotype" w:hAnsi="Palatino Linotype"/>
          <w:b/>
          <w:bCs/>
          <w:noProof/>
          <w:sz w:val="28"/>
          <w:szCs w:val="28"/>
        </w:rPr>
      </w:pPr>
      <w:r>
        <w:rPr>
          <w:rFonts w:ascii="Palatino Linotype" w:hAnsi="Palatino Linotype"/>
          <w:b/>
          <w:bCs/>
          <w:noProof/>
          <w:sz w:val="28"/>
          <w:szCs w:val="28"/>
        </w:rPr>
        <w:t xml:space="preserve">Structural Constraints </w:t>
      </w:r>
    </w:p>
    <w:p w14:paraId="5786044C" w14:textId="3D8BF8FE" w:rsidR="0037063D" w:rsidRPr="0037063D" w:rsidRDefault="0037063D" w:rsidP="0037063D">
      <w:pPr>
        <w:spacing w:after="60"/>
        <w:rPr>
          <w:rFonts w:ascii="Palatino Linotype" w:hAnsi="Palatino Linotype"/>
          <w:b/>
          <w:bCs/>
          <w:noProof/>
          <w:sz w:val="28"/>
          <w:szCs w:val="28"/>
        </w:rPr>
      </w:pPr>
      <w:r w:rsidRPr="0037063D">
        <w:rPr>
          <w:rFonts w:ascii="Palatino Linotype" w:hAnsi="Palatino Linotype"/>
          <w:b/>
          <w:bCs/>
          <w:color w:val="111827"/>
        </w:rPr>
        <w:t xml:space="preserve">Labor market access. </w:t>
      </w:r>
      <w:r w:rsidRPr="0037063D">
        <w:rPr>
          <w:rFonts w:ascii="Palatino Linotype" w:hAnsi="Palatino Linotype"/>
          <w:color w:val="111827"/>
        </w:rPr>
        <w:t>Georgia’s domestic IT labor supply is insufficient to sustain the sector at its current scale. The PMCG sector snapshot published in April 2025 identified workforce availability as the sector’s primary constraint,</w:t>
      </w:r>
      <w:r w:rsidR="006274B0">
        <w:rPr>
          <w:rStyle w:val="FootnoteReference"/>
          <w:rFonts w:ascii="Palatino Linotype" w:hAnsi="Palatino Linotype"/>
          <w:color w:val="111827"/>
        </w:rPr>
        <w:footnoteReference w:id="14"/>
      </w:r>
      <w:r w:rsidRPr="0037063D">
        <w:rPr>
          <w:rFonts w:ascii="Palatino Linotype" w:hAnsi="Palatino Linotype"/>
          <w:color w:val="111827"/>
        </w:rPr>
        <w:t xml:space="preserve"> and industry representatives have been consistent on this point since at least 2023.</w:t>
      </w:r>
      <w:r w:rsidR="006274B0">
        <w:rPr>
          <w:rStyle w:val="FootnoteReference"/>
          <w:rFonts w:ascii="Palatino Linotype" w:hAnsi="Palatino Linotype"/>
          <w:color w:val="111827"/>
        </w:rPr>
        <w:footnoteReference w:id="15"/>
      </w:r>
      <w:r w:rsidRPr="0037063D">
        <w:rPr>
          <w:rFonts w:ascii="Palatino Linotype" w:hAnsi="Palatino Linotype"/>
          <w:color w:val="111827"/>
        </w:rPr>
        <w:t xml:space="preserve"> Recent legislative changes restricting foreign labor market access, combined with the continued absence of a long-term technology residence permit, increase the cost and uncertainty of employing international professionals in Georgia. Companies operating under the ICS regime face the additional constraint that employees cannot legally work remotely from outside Georgia—a significant disincentive for senior talent considering relocation. These frictions did not prevent growth during the 2022–2023 period, when the external supply shock was large enough to override them. They are more consequential now that the one-time influx has stabilized.</w:t>
      </w:r>
    </w:p>
    <w:p w14:paraId="4EC8D318" w14:textId="77777777" w:rsidR="0037063D" w:rsidRDefault="0037063D" w:rsidP="00B62FE1">
      <w:pPr>
        <w:rPr>
          <w:rFonts w:ascii="Palatino Linotype" w:hAnsi="Palatino Linotype"/>
          <w:color w:val="111827"/>
        </w:rPr>
      </w:pPr>
    </w:p>
    <w:p w14:paraId="6DD8507B" w14:textId="04350F14" w:rsidR="0037063D" w:rsidRPr="0037063D" w:rsidRDefault="0037063D" w:rsidP="00B62FE1">
      <w:pPr>
        <w:rPr>
          <w:rFonts w:ascii="Palatino Linotype" w:hAnsi="Palatino Linotype"/>
          <w:color w:val="111827"/>
        </w:rPr>
      </w:pPr>
      <w:r w:rsidRPr="0037063D">
        <w:rPr>
          <w:rFonts w:ascii="Palatino Linotype" w:hAnsi="Palatino Linotype"/>
          <w:b/>
          <w:bCs/>
          <w:color w:val="111827"/>
        </w:rPr>
        <w:t xml:space="preserve">Government procurement and digitalization. </w:t>
      </w:r>
      <w:r w:rsidRPr="0037063D">
        <w:rPr>
          <w:rFonts w:ascii="Palatino Linotype" w:hAnsi="Palatino Linotype"/>
          <w:color w:val="111827"/>
        </w:rPr>
        <w:t>Georgia’s public sector is the country’s largest single economic actor and one of the least digitized. There is no coordinated national program for cloud migration across government agencies, no systematic policy directing public procurement toward locally developed technology solutions, and no AI-based public service deployed at scale. This matters for the technology sector because government demand creates a domestic anchor: sustained contracts that support company formation, workforce retention, and product development that can subsequently be exported. Estonia’s e-governance model is the regional reference point—not because it is exceptional, but because it shows what is achievable and what Georgian governments have not attempted. The absence of this demand channel makes the sector more dependent on external conditions that it cannot control.</w:t>
      </w:r>
    </w:p>
    <w:p w14:paraId="3F3F79F5" w14:textId="77777777" w:rsidR="0037063D" w:rsidRDefault="0037063D" w:rsidP="00B62FE1">
      <w:pPr>
        <w:rPr>
          <w:rFonts w:ascii="Palatino Linotype" w:hAnsi="Palatino Linotype"/>
          <w:color w:val="111827"/>
        </w:rPr>
      </w:pPr>
    </w:p>
    <w:p w14:paraId="6DFB8225" w14:textId="58AFEB7D" w:rsidR="0037063D" w:rsidRPr="0037063D" w:rsidRDefault="0037063D" w:rsidP="00B62FE1">
      <w:pPr>
        <w:rPr>
          <w:rFonts w:ascii="Palatino Linotype" w:hAnsi="Palatino Linotype"/>
          <w:color w:val="111827"/>
        </w:rPr>
      </w:pPr>
      <w:r w:rsidRPr="0037063D">
        <w:rPr>
          <w:rFonts w:ascii="Palatino Linotype" w:hAnsi="Palatino Linotype"/>
          <w:b/>
          <w:bCs/>
          <w:color w:val="111827"/>
        </w:rPr>
        <w:t xml:space="preserve">AI infrastructure and U.S. export licensing. </w:t>
      </w:r>
      <w:r w:rsidRPr="0037063D">
        <w:rPr>
          <w:rFonts w:ascii="Palatino Linotype" w:hAnsi="Palatino Linotype"/>
          <w:color w:val="111827"/>
        </w:rPr>
        <w:t>Access to frontier AI hardware—NVIDIA’s most advanced GPU clusters, in particular—is governed by U.S. export licensing. Licenses are issued based on bilateral trust and compliance with U.S. technology security requirements. In February 2026, the U.S. government approved the export of 41,000 NVIDIA GB300 GPUs to Armenia as part of a $4 billion AI infrastructure project</w:t>
      </w:r>
      <w:r w:rsidR="006274B0">
        <w:rPr>
          <w:rStyle w:val="FootnoteReference"/>
          <w:rFonts w:ascii="Palatino Linotype" w:hAnsi="Palatino Linotype"/>
          <w:color w:val="111827"/>
        </w:rPr>
        <w:footnoteReference w:id="16"/>
      </w:r>
      <w:r w:rsidR="006274B0">
        <w:rPr>
          <w:rFonts w:ascii="Palatino Linotype" w:hAnsi="Palatino Linotype"/>
          <w:color w:val="111827"/>
        </w:rPr>
        <w:t xml:space="preserve"> </w:t>
      </w:r>
      <w:r>
        <w:rPr>
          <w:rFonts w:ascii="Palatino Linotype" w:hAnsi="Palatino Linotype"/>
          <w:color w:val="111827"/>
          <w:sz w:val="11"/>
          <w:szCs w:val="11"/>
          <w:vertAlign w:val="superscript"/>
        </w:rPr>
        <w:t xml:space="preserve"> </w:t>
      </w:r>
      <w:r w:rsidRPr="0037063D">
        <w:rPr>
          <w:rFonts w:ascii="Palatino Linotype" w:hAnsi="Palatino Linotype"/>
          <w:color w:val="111827"/>
        </w:rPr>
        <w:t>developed by Firebird, a U.S.-based AI infrastructure company, in partnership with the Armenian government and NVIDIA. The project was announced by U.S. Vice President JD Vance during a visit to Yerevan and positions Armenia as one of the five largest AI GPU hubs globally.</w:t>
      </w:r>
      <w:r w:rsidR="006274B0">
        <w:rPr>
          <w:rStyle w:val="FootnoteReference"/>
          <w:rFonts w:ascii="Palatino Linotype" w:hAnsi="Palatino Linotype"/>
          <w:color w:val="111827"/>
        </w:rPr>
        <w:footnoteReference w:id="17"/>
      </w:r>
      <w:r w:rsidRPr="0037063D">
        <w:rPr>
          <w:rFonts w:ascii="Palatino Linotype" w:hAnsi="Palatino Linotype"/>
          <w:color w:val="111827"/>
        </w:rPr>
        <w:t xml:space="preserve"> The authorization followed an AI and semiconductor cooperation memorandum signed between the United States and Armenia in August 2025, itself a product of sustained high-level diplomatic engagement. Georgia has not pursued a comparable agreement. The gap is not technical—Georgia has the tax framework and the established U.S. company presence to support such a project—but diplomatic and political.</w:t>
      </w:r>
    </w:p>
    <w:p w14:paraId="2304694A" w14:textId="77777777" w:rsidR="0037063D" w:rsidRDefault="0037063D" w:rsidP="00B62FE1">
      <w:pPr>
        <w:rPr>
          <w:rFonts w:ascii="Palatino Linotype" w:hAnsi="Palatino Linotype"/>
          <w:color w:val="111827"/>
        </w:rPr>
      </w:pPr>
    </w:p>
    <w:p w14:paraId="11677740" w14:textId="3AED8647" w:rsidR="0037063D" w:rsidRDefault="0037063D" w:rsidP="0037063D">
      <w:pPr>
        <w:spacing w:after="60"/>
        <w:rPr>
          <w:rFonts w:ascii="Palatino Linotype" w:hAnsi="Palatino Linotype"/>
          <w:b/>
          <w:bCs/>
          <w:noProof/>
          <w:sz w:val="28"/>
          <w:szCs w:val="28"/>
        </w:rPr>
      </w:pPr>
      <w:r>
        <w:rPr>
          <w:rFonts w:ascii="Palatino Linotype" w:hAnsi="Palatino Linotype"/>
          <w:b/>
          <w:bCs/>
          <w:noProof/>
          <w:sz w:val="28"/>
          <w:szCs w:val="28"/>
        </w:rPr>
        <w:t xml:space="preserve">The U.S.-Georgia Technology Relationship </w:t>
      </w:r>
    </w:p>
    <w:p w14:paraId="4705CC93" w14:textId="77777777" w:rsidR="0037063D" w:rsidRPr="0037063D" w:rsidRDefault="0037063D" w:rsidP="0037063D">
      <w:pPr>
        <w:spacing w:after="200"/>
        <w:rPr>
          <w:rFonts w:ascii="Palatino Linotype" w:hAnsi="Palatino Linotype"/>
        </w:rPr>
      </w:pPr>
      <w:r w:rsidRPr="0037063D">
        <w:rPr>
          <w:rFonts w:ascii="Palatino Linotype" w:hAnsi="Palatino Linotype"/>
          <w:color w:val="000000"/>
        </w:rPr>
        <w:t>Georgia’s technology sector’s growth is disproportionately tied to the United States. The U.S. is the sector’s largest export market. American companies account for most high-paying jobs in the industry. American capital—through the AGBC, direct investment, and USAID-supported programs—provided much of the external validation that enabled GITA’s early-stage work to reach international markets.</w:t>
      </w:r>
    </w:p>
    <w:p w14:paraId="07409334" w14:textId="45B89707" w:rsidR="0037063D" w:rsidRDefault="00CB2468" w:rsidP="00CB2468">
      <w:pPr>
        <w:rPr>
          <w:rFonts w:ascii="Palatino Linotype" w:hAnsi="Palatino Linotype"/>
        </w:rPr>
      </w:pPr>
      <w:r w:rsidRPr="00CB2468">
        <w:rPr>
          <w:rFonts w:ascii="Palatino Linotype" w:hAnsi="Palatino Linotype"/>
          <w:color w:val="111827"/>
        </w:rPr>
        <w:t>The U.S.–Georgia bilateral relationship has deteriorated over the past two years. In May 2024, the Georgian parliament adopted legislation on transparency that drew formal objections from the United States and the European Union, arguing that it was incompatible with Georgia’s stated Euro-Atlantic commitments. The U.S. response included the suspension of $95 million in security assistance, visa restrictions on Georgian officials, and a downgrade in diplomatic engagement.</w:t>
      </w:r>
      <w:r w:rsidR="006274B0">
        <w:rPr>
          <w:rStyle w:val="FootnoteReference"/>
          <w:rFonts w:ascii="Palatino Linotype" w:hAnsi="Palatino Linotype"/>
          <w:color w:val="111827"/>
        </w:rPr>
        <w:footnoteReference w:customMarkFollows="1" w:id="18"/>
        <w:t>15</w:t>
      </w:r>
      <w:r w:rsidRPr="00CB2468">
        <w:rPr>
          <w:rFonts w:ascii="Palatino Linotype" w:hAnsi="Palatino Linotype"/>
          <w:color w:val="111827"/>
          <w:sz w:val="11"/>
          <w:szCs w:val="11"/>
          <w:vertAlign w:val="superscript"/>
        </w:rPr>
        <w:t xml:space="preserve"> </w:t>
      </w:r>
      <w:r w:rsidR="006274B0">
        <w:rPr>
          <w:rFonts w:ascii="Palatino Linotype" w:hAnsi="Palatino Linotype"/>
          <w:color w:val="111827"/>
          <w:sz w:val="11"/>
          <w:szCs w:val="11"/>
          <w:vertAlign w:val="superscript"/>
        </w:rPr>
        <w:t xml:space="preserve"> </w:t>
      </w:r>
      <w:r w:rsidRPr="00CB2468">
        <w:rPr>
          <w:rFonts w:ascii="Palatino Linotype" w:hAnsi="Palatino Linotype"/>
          <w:color w:val="111827"/>
        </w:rPr>
        <w:t>The practical consequence for the technology sector is direct: access to the instruments that matter most for the sector’s next phase—frontier AI systems, advanced semiconductor exports, and strategic infrastructure partnerships of the type Armenia has secured—is conditioned on a level of bilateral trust that is currently absent. This is the condition under which Georgian technology companies are operating today.</w:t>
      </w:r>
    </w:p>
    <w:p w14:paraId="4659D3D2" w14:textId="77777777" w:rsidR="00CB2468" w:rsidRPr="00CB2468" w:rsidRDefault="00CB2468" w:rsidP="00CB2468">
      <w:pPr>
        <w:rPr>
          <w:rFonts w:ascii="Palatino Linotype" w:hAnsi="Palatino Linotype"/>
        </w:rPr>
      </w:pPr>
    </w:p>
    <w:p w14:paraId="160EE78D" w14:textId="79041572" w:rsidR="0037063D" w:rsidRDefault="00CB2468" w:rsidP="00B62FE1">
      <w:pPr>
        <w:rPr>
          <w:rFonts w:ascii="Palatino Linotype" w:hAnsi="Palatino Linotype"/>
          <w:color w:val="111827"/>
        </w:rPr>
      </w:pPr>
      <w:r w:rsidRPr="00CB2468">
        <w:rPr>
          <w:rFonts w:ascii="Palatino Linotype" w:hAnsi="Palatino Linotype"/>
          <w:color w:val="111827"/>
        </w:rPr>
        <w:t>Armenia offers the clearest available comparison. Both countries are small economies in the South Caucasus with established technology sectors, competitive cost structures, and English-language workforces. Armenia’s $4 billion AI infrastructure commitment from the United States followed a deliberate foreign-policy reorientation—anchored in the U.S.-Armenia Strategic Partnership Charter signed in January 2025 and the AI and semiconductor MOU signed in August 2025—that positioned Yerevan as a trusted partner for U.S. technology exports in the region.</w:t>
      </w:r>
      <w:r w:rsidR="006274B0">
        <w:rPr>
          <w:rStyle w:val="FootnoteReference"/>
          <w:rFonts w:ascii="Palatino Linotype" w:hAnsi="Palatino Linotype"/>
          <w:color w:val="111827"/>
        </w:rPr>
        <w:footnoteReference w:id="19"/>
      </w:r>
      <w:r w:rsidRPr="00CB2468">
        <w:rPr>
          <w:rFonts w:ascii="Palatino Linotype" w:hAnsi="Palatino Linotype"/>
          <w:color w:val="111827"/>
        </w:rPr>
        <w:t xml:space="preserve"> The divergence between the two countries on this dimension is recent and, in principle, reversible—but it is widening.</w:t>
      </w:r>
    </w:p>
    <w:p w14:paraId="37839E29" w14:textId="77777777" w:rsidR="00CB2468" w:rsidRDefault="00CB2468" w:rsidP="00B62FE1">
      <w:pPr>
        <w:rPr>
          <w:rFonts w:ascii="Palatino Linotype" w:hAnsi="Palatino Linotype"/>
          <w:color w:val="111827"/>
        </w:rPr>
      </w:pPr>
    </w:p>
    <w:p w14:paraId="486B23C1" w14:textId="313DF4FC" w:rsidR="00CB2468" w:rsidRDefault="00CB2468" w:rsidP="00CB2468">
      <w:pPr>
        <w:spacing w:after="60"/>
        <w:rPr>
          <w:rFonts w:ascii="Palatino Linotype" w:hAnsi="Palatino Linotype"/>
          <w:b/>
          <w:bCs/>
          <w:noProof/>
          <w:sz w:val="28"/>
          <w:szCs w:val="28"/>
        </w:rPr>
      </w:pPr>
      <w:r>
        <w:rPr>
          <w:rFonts w:ascii="Palatino Linotype" w:hAnsi="Palatino Linotype"/>
          <w:b/>
          <w:bCs/>
          <w:noProof/>
          <w:sz w:val="28"/>
          <w:szCs w:val="28"/>
        </w:rPr>
        <w:t xml:space="preserve">Conclusion </w:t>
      </w:r>
    </w:p>
    <w:p w14:paraId="638A36F4" w14:textId="2974C8EE" w:rsidR="00CB2468" w:rsidRPr="00CB2468" w:rsidRDefault="00CB2468" w:rsidP="00B62FE1">
      <w:pPr>
        <w:rPr>
          <w:rFonts w:ascii="Palatino Linotype" w:hAnsi="Palatino Linotype"/>
          <w:color w:val="111827"/>
        </w:rPr>
      </w:pPr>
      <w:r w:rsidRPr="00CB2468">
        <w:rPr>
          <w:rFonts w:ascii="Palatino Linotype" w:hAnsi="Palatino Linotype"/>
          <w:color w:val="111827"/>
        </w:rPr>
        <w:t>Georgia’s $1.15 billion in IT export revenue in 2025 reflects a decade of targeted institutional, diplomatic, and regulatory decisions, amplified by the 2022 exodus of technology workers from Russia and Belarus, which the country was well-positioned to absorb due to the groundwork laid earlier. The three constraints identified in this paper are not independent. The deterioration of the U.S.–Georgia bilateral relationship is the proximate reason Georgia is currently excluded from the U.S.-led AI export licensing framework that produced the Armenia investment. It also removes the external incentives that previously drove domestic policy reform: when the prospect of a deeper U.S. technology partnership was credible, it created pressure to keep the tax framework competitive, the labor market open, and the bilateral commercial relationship active. That pressure is weaker today. All three constraints become more tractable if the bilateral relationship is restored to the level at which strategic cooperation is possible. Until it is, the sector’s growth will continue to depend on conditions it cannot itself determine.</w:t>
      </w:r>
    </w:p>
    <w:p w14:paraId="2602D4E4" w14:textId="77777777" w:rsidR="0037063D" w:rsidRDefault="0037063D" w:rsidP="00B62FE1">
      <w:pPr>
        <w:rPr>
          <w:rFonts w:ascii="Palatino Linotype" w:hAnsi="Palatino Linotype"/>
          <w:color w:val="111827"/>
        </w:rPr>
      </w:pPr>
    </w:p>
    <w:p w14:paraId="151DD42E" w14:textId="77777777" w:rsidR="00CB2468" w:rsidRPr="00CB2468" w:rsidRDefault="00CB2468" w:rsidP="00CB2468">
      <w:pPr>
        <w:spacing w:after="100"/>
        <w:rPr>
          <w:rFonts w:ascii="Palatino Linotype" w:hAnsi="Palatino Linotype"/>
        </w:rPr>
      </w:pPr>
      <w:r w:rsidRPr="00CB2468">
        <w:rPr>
          <w:rFonts w:ascii="Palatino Linotype" w:hAnsi="Palatino Linotype"/>
          <w:b/>
          <w:bCs/>
          <w:color w:val="111827"/>
        </w:rPr>
        <w:t xml:space="preserve">Disclosure: </w:t>
      </w:r>
      <w:r w:rsidRPr="00CB2468">
        <w:rPr>
          <w:rFonts w:ascii="Palatino Linotype" w:hAnsi="Palatino Linotype"/>
          <w:i/>
          <w:iCs/>
          <w:color w:val="111827"/>
        </w:rPr>
        <w:t>The author serves as a Vice President of the America-Georgia Business Council and is a board member of the American Chamber of Commerce in Georgia.</w:t>
      </w:r>
    </w:p>
    <w:p w14:paraId="713A59FD" w14:textId="34619A3D" w:rsidR="00CB2468" w:rsidRPr="00CB2468" w:rsidRDefault="00CB2468" w:rsidP="00CB2468">
      <w:pPr>
        <w:spacing w:after="60"/>
        <w:rPr>
          <w:rFonts w:ascii="Palatino Linotype" w:hAnsi="Palatino Linotype"/>
          <w:b/>
          <w:bCs/>
          <w:i/>
          <w:iCs/>
          <w:noProof/>
          <w:sz w:val="28"/>
          <w:szCs w:val="28"/>
        </w:rPr>
      </w:pPr>
      <w:r w:rsidRPr="00CB2468">
        <w:rPr>
          <w:rFonts w:ascii="Palatino Linotype" w:hAnsi="Palatino Linotype"/>
          <w:b/>
          <w:bCs/>
          <w:color w:val="111827"/>
        </w:rPr>
        <w:t xml:space="preserve">About the Author: </w:t>
      </w:r>
      <w:r w:rsidRPr="00CB2468">
        <w:rPr>
          <w:rFonts w:ascii="Palatino Linotype" w:hAnsi="Palatino Linotype"/>
          <w:i/>
          <w:iCs/>
          <w:color w:val="111827"/>
        </w:rPr>
        <w:t>Giorgi Tsikolia served as Deputy Chief of Mission at the Embassy of Georgia in Washington, D.C., including two tenures as Chargé d’affaires (2015–16 and 2022). He is currently Executive Vice President at Lineate, a U.S.-based technology company with operations in Georgia and Armenia.</w:t>
      </w:r>
    </w:p>
    <w:p w14:paraId="1482C38B" w14:textId="77777777" w:rsidR="00CB2468" w:rsidRPr="0037063D" w:rsidRDefault="00CB2468" w:rsidP="00B62FE1">
      <w:pPr>
        <w:rPr>
          <w:rFonts w:ascii="Palatino Linotype" w:hAnsi="Palatino Linotype"/>
          <w:color w:val="111827"/>
        </w:rPr>
      </w:pPr>
    </w:p>
    <w:p w14:paraId="47896716" w14:textId="77777777" w:rsidR="0037063D" w:rsidRDefault="0037063D" w:rsidP="00B62FE1">
      <w:pPr>
        <w:rPr>
          <w:color w:val="111827"/>
        </w:rPr>
      </w:pPr>
    </w:p>
    <w:p w14:paraId="52527DC4" w14:textId="790C1E60" w:rsidR="00024A21" w:rsidRPr="00EB73E0" w:rsidRDefault="00024A21" w:rsidP="00024A21">
      <w:pPr>
        <w:spacing w:after="60"/>
        <w:rPr>
          <w:bCs/>
        </w:rPr>
        <w:sectPr w:rsidR="00024A21" w:rsidRPr="00EB73E0" w:rsidSect="008D4425">
          <w:type w:val="continuous"/>
          <w:pgSz w:w="12240" w:h="15840" w:code="1"/>
          <w:pgMar w:top="1440" w:right="1009" w:bottom="1440" w:left="1009" w:header="142" w:footer="142" w:gutter="0"/>
          <w:cols w:num="2" w:space="720"/>
          <w:docGrid w:linePitch="360"/>
          <w15:footnoteColumns w:val="2"/>
        </w:sectPr>
      </w:pPr>
    </w:p>
    <w:p w14:paraId="7D2CA0F9" w14:textId="77777777" w:rsidR="00B152A8" w:rsidRDefault="00B152A8" w:rsidP="0094329A">
      <w:pPr>
        <w:jc w:val="center"/>
      </w:pPr>
    </w:p>
    <w:p w14:paraId="0E2EF874" w14:textId="77777777" w:rsidR="00B152A8" w:rsidRDefault="00B152A8" w:rsidP="0094329A">
      <w:pPr>
        <w:jc w:val="center"/>
      </w:pPr>
    </w:p>
    <w:p w14:paraId="00F794C1" w14:textId="34286ECA" w:rsidR="00EC2040" w:rsidRPr="00C77242" w:rsidRDefault="00225AF7" w:rsidP="0094329A">
      <w:pPr>
        <w:jc w:val="center"/>
      </w:pPr>
      <w:r w:rsidRPr="00C77242">
        <w:rPr>
          <w:noProof/>
          <w:lang w:val="ru-RU" w:eastAsia="ru-RU"/>
        </w:rPr>
        <mc:AlternateContent>
          <mc:Choice Requires="wps">
            <w:drawing>
              <wp:anchor distT="0" distB="0" distL="114300" distR="114300" simplePos="0" relativeHeight="251656704" behindDoc="0" locked="0" layoutInCell="1" allowOverlap="1" wp14:anchorId="38AD9B58" wp14:editId="1747456B">
                <wp:simplePos x="0" y="0"/>
                <wp:positionH relativeFrom="column">
                  <wp:posOffset>447675</wp:posOffset>
                </wp:positionH>
                <wp:positionV relativeFrom="paragraph">
                  <wp:posOffset>142240</wp:posOffset>
                </wp:positionV>
                <wp:extent cx="1216660" cy="107632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660" cy="1076325"/>
                        </a:xfrm>
                        <a:prstGeom prst="rect">
                          <a:avLst/>
                        </a:prstGeom>
                        <a:noFill/>
                        <a:ln w="9525">
                          <a:noFill/>
                          <a:miter lim="800000"/>
                          <a:headEnd/>
                          <a:tailEnd/>
                        </a:ln>
                      </wps:spPr>
                      <wps:txbx>
                        <w:txbxContent>
                          <w:p w14:paraId="6C45044B" w14:textId="4CBB349B" w:rsidR="004035BD" w:rsidRDefault="004035BD" w:rsidP="00B54A9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AD9B58" id="_x0000_s1027" type="#_x0000_t202" style="position:absolute;left:0;text-align:left;margin-left:35.25pt;margin-top:11.2pt;width:95.8pt;height:8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" filled="f" stroked="f">
                <v:textbox>
                  <w:txbxContent>
                    <w:p w14:paraId="6C45044B" w14:textId="4CBB349B" w:rsidR="004035BD" w:rsidRDefault="004035BD" w:rsidP="00B54A9C">
                      <w:pPr>
                        <w:jc w:val="center"/>
                      </w:pPr>
                    </w:p>
                  </w:txbxContent>
                </v:textbox>
              </v:shape>
            </w:pict>
          </mc:Fallback>
        </mc:AlternateContent>
      </w:r>
      <w:r w:rsidR="00FF465F">
        <w:rPr>
          <w:noProof/>
          <w:lang w:val="ru-RU" w:eastAsia="ru-RU"/>
        </w:rPr>
        <w:drawing>
          <wp:inline distT="0" distB="0" distL="0" distR="0" wp14:anchorId="546036BE" wp14:editId="2D719833">
            <wp:extent cx="1638300" cy="1638300"/>
            <wp:effectExtent l="0" t="0" r="0" b="0"/>
            <wp:docPr id="269860188"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860188" name="Picture 1" descr="A blue and white logo&#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638300" cy="1638300"/>
                    </a:xfrm>
                    <a:prstGeom prst="rect">
                      <a:avLst/>
                    </a:prstGeom>
                  </pic:spPr>
                </pic:pic>
              </a:graphicData>
            </a:graphic>
          </wp:inline>
        </w:drawing>
      </w:r>
    </w:p>
    <w:sectPr w:rsidR="00EC2040" w:rsidRPr="00C77242" w:rsidSect="008D4425">
      <w:type w:val="continuous"/>
      <w:pgSz w:w="12240" w:h="15840" w:code="1"/>
      <w:pgMar w:top="1440" w:right="1008" w:bottom="0" w:left="1008" w:header="144" w:footer="144" w:gutter="0"/>
      <w:cols w:space="720"/>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93243" w14:textId="77777777" w:rsidR="00025722" w:rsidRDefault="00025722" w:rsidP="00D509BD">
      <w:r>
        <w:separator/>
      </w:r>
    </w:p>
  </w:endnote>
  <w:endnote w:type="continuationSeparator" w:id="0">
    <w:p w14:paraId="410C7DB2" w14:textId="77777777" w:rsidR="00025722" w:rsidRDefault="00025722" w:rsidP="00D50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GeoDumba">
    <w:panose1 w:val="020B0604020202020204"/>
    <w:charset w:val="00"/>
    <w:family w:val="auto"/>
    <w:pitch w:val="variable"/>
    <w:sig w:usb0="00000003" w:usb1="00000000" w:usb2="00000000" w:usb3="00000000" w:csb0="00000001" w:csb1="00000000"/>
  </w:font>
  <w:font w:name="High Tower Text">
    <w:panose1 w:val="02040502050506030303"/>
    <w:charset w:val="4D"/>
    <w:family w:val="roman"/>
    <w:pitch w:val="variable"/>
    <w:sig w:usb0="00000003" w:usb1="00000000" w:usb2="00000000" w:usb3="00000000" w:csb0="00000001" w:csb1="00000000"/>
  </w:font>
  <w:font w:name="Times">
    <w:altName w:val="Sylfaen"/>
    <w:panose1 w:val="020B0604020202020204"/>
    <w:charset w:val="00"/>
    <w:family w:val="roman"/>
    <w:pitch w:val="variable"/>
    <w:sig w:usb0="E0002EFF" w:usb1="C000785B" w:usb2="00000009" w:usb3="00000000" w:csb0="000001FF" w:csb1="00000000"/>
  </w:font>
  <w:font w:name="IBM Plex Sans">
    <w:panose1 w:val="020B0503050203000203"/>
    <w:charset w:val="00"/>
    <w:family w:val="swiss"/>
    <w:pitch w:val="variable"/>
    <w:sig w:usb0="A00002EF" w:usb1="5000207B" w:usb2="00000000" w:usb3="00000000" w:csb0="0000019F" w:csb1="00000000"/>
  </w:font>
  <w:font w:name="Minion Pro">
    <w:altName w:val="Cambria"/>
    <w:panose1 w:val="020B0604020202020204"/>
    <w:charset w:val="00"/>
    <w:family w:val="roman"/>
    <w:pitch w:val="variable"/>
    <w:sig w:usb0="E00002AF" w:usb1="5000E07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Lucida Bright">
    <w:panose1 w:val="02040602050505020304"/>
    <w:charset w:val="4D"/>
    <w:family w:val="roman"/>
    <w:pitch w:val="variable"/>
    <w:sig w:usb0="00000003" w:usb1="00000000" w:usb2="00000000" w:usb3="00000000" w:csb0="00000001" w:csb1="00000000"/>
  </w:font>
  <w:font w:name="A">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9AA6E" w14:textId="785F5D06" w:rsidR="00EC2040" w:rsidRDefault="00025722" w:rsidP="00EC2040">
    <w:pPr>
      <w:pStyle w:val="Footer"/>
      <w:jc w:val="center"/>
      <w:rPr>
        <w:noProof/>
      </w:rPr>
    </w:pPr>
    <w:r>
      <w:pict w14:anchorId="2B25CCB2">
        <v:rect id="Horizontal Line 1" o:spid="_x0000_s1027" alt="" style="width:511.1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r w:rsidR="00EC2040">
      <w:rPr>
        <w:noProof/>
      </w:rPr>
      <w:t>© 20</w:t>
    </w:r>
    <w:r w:rsidR="00B21405">
      <w:rPr>
        <w:noProof/>
      </w:rPr>
      <w:t>2</w:t>
    </w:r>
    <w:r w:rsidR="00DE1E68">
      <w:rPr>
        <w:noProof/>
      </w:rPr>
      <w:t>6</w:t>
    </w:r>
    <w:r w:rsidR="00EC2040">
      <w:rPr>
        <w:noProof/>
      </w:rPr>
      <w:t xml:space="preserve"> Central Asia-Caucasus Institute &amp; Silk Road Studies Program, Joint Center</w:t>
    </w:r>
  </w:p>
  <w:p w14:paraId="52DBF961" w14:textId="77777777" w:rsidR="00EC2040" w:rsidRDefault="00EC2040" w:rsidP="00EC2040">
    <w:pPr>
      <w:pStyle w:val="Footer"/>
      <w:jc w:val="center"/>
      <w:rPr>
        <w:noProof/>
      </w:rPr>
    </w:pPr>
  </w:p>
  <w:p w14:paraId="5BFAE527" w14:textId="77777777" w:rsidR="00EC2040" w:rsidRDefault="00EC2040" w:rsidP="00EC204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8B691" w14:textId="4BB88114" w:rsidR="00EC2040" w:rsidRDefault="00025722" w:rsidP="00EC2040">
    <w:pPr>
      <w:pStyle w:val="Footer"/>
      <w:jc w:val="center"/>
      <w:rPr>
        <w:noProof/>
      </w:rPr>
    </w:pPr>
    <w:r>
      <w:pict w14:anchorId="23B02D39">
        <v:rect id="Horizontal Line 2" o:spid="_x0000_s1026" alt="" style="width:511.1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r w:rsidR="00EC2040">
      <w:rPr>
        <w:noProof/>
      </w:rPr>
      <w:t>© 20</w:t>
    </w:r>
    <w:r w:rsidR="004420BB">
      <w:rPr>
        <w:noProof/>
      </w:rPr>
      <w:t>2</w:t>
    </w:r>
    <w:r w:rsidR="00DE1E68">
      <w:rPr>
        <w:noProof/>
      </w:rPr>
      <w:t>6</w:t>
    </w:r>
    <w:r w:rsidR="00EC2040">
      <w:rPr>
        <w:noProof/>
      </w:rPr>
      <w:t xml:space="preserve"> Central Asia-Caucasus Institute &amp; Silk Road Studies Program, Joint Center</w:t>
    </w:r>
  </w:p>
  <w:p w14:paraId="6BC08A6D" w14:textId="77777777" w:rsidR="00EC2040" w:rsidRDefault="00EC2040" w:rsidP="00EC2040">
    <w:pPr>
      <w:pStyle w:val="Footer"/>
      <w:jc w:val="center"/>
      <w:rPr>
        <w:noProof/>
      </w:rPr>
    </w:pPr>
  </w:p>
  <w:p w14:paraId="548B68D0" w14:textId="77777777" w:rsidR="00066BD0" w:rsidRDefault="00066BD0" w:rsidP="00066BD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8BD78" w14:textId="77777777" w:rsidR="00066BD0" w:rsidRDefault="00025722" w:rsidP="00066BD0">
    <w:pPr>
      <w:pStyle w:val="Footer"/>
      <w:jc w:val="center"/>
      <w:rPr>
        <w:noProof/>
      </w:rPr>
    </w:pPr>
    <w:r>
      <w:pict w14:anchorId="0D5C5DBE">
        <v:rect id="Horizontal Line 3" o:spid="_x0000_s1025" alt="" style="width:612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2F9742C" w14:textId="7313575C" w:rsidR="00066BD0" w:rsidRPr="00EC2040" w:rsidRDefault="00066BD0" w:rsidP="00066BD0">
    <w:pPr>
      <w:pStyle w:val="Footer"/>
      <w:jc w:val="center"/>
      <w:rPr>
        <w:sz w:val="20"/>
        <w:szCs w:val="20"/>
      </w:rPr>
    </w:pPr>
    <w:r>
      <w:rPr>
        <w:noProof/>
      </w:rPr>
      <w:br/>
    </w:r>
    <w:r w:rsidRPr="00EC2040">
      <w:rPr>
        <w:noProof/>
        <w:sz w:val="20"/>
        <w:szCs w:val="20"/>
      </w:rPr>
      <w:t>© 20</w:t>
    </w:r>
    <w:r w:rsidR="00DC0BC9">
      <w:rPr>
        <w:noProof/>
        <w:sz w:val="20"/>
        <w:szCs w:val="20"/>
      </w:rPr>
      <w:t>2</w:t>
    </w:r>
    <w:r w:rsidR="00DE1E68">
      <w:rPr>
        <w:noProof/>
        <w:sz w:val="20"/>
        <w:szCs w:val="20"/>
      </w:rPr>
      <w:t>6</w:t>
    </w:r>
    <w:r w:rsidRPr="00EC2040">
      <w:rPr>
        <w:noProof/>
        <w:sz w:val="20"/>
        <w:szCs w:val="20"/>
      </w:rPr>
      <w:t xml:space="preserve"> Central Asia-Caucasus Institute &amp; Silk Road Studies Program, Joint Center</w:t>
    </w:r>
    <w:r w:rsidRPr="00EC2040">
      <w:rPr>
        <w:noProof/>
        <w:sz w:val="20"/>
        <w:szCs w:val="20"/>
      </w:rPr>
      <w:br/>
      <w:t>American Foreign Policy Council / Institute for Security &amp; Development Policy</w:t>
    </w:r>
    <w:r w:rsidRPr="00EC2040">
      <w:rPr>
        <w:noProof/>
        <w:sz w:val="20"/>
        <w:szCs w:val="20"/>
      </w:rPr>
      <w:br/>
      <w:t>509 C St NE, Washington, DC 20002 / V. Finnbodavägen 2, 13130 Stockholm-Nacka, Sweden</w:t>
    </w:r>
    <w:r w:rsidRPr="00EC2040">
      <w:rPr>
        <w:noProof/>
        <w:sz w:val="20"/>
        <w:szCs w:val="20"/>
      </w:rPr>
      <w:br/>
      <w:t xml:space="preserve">www.silkroadstudies.org </w:t>
    </w:r>
    <w:r w:rsidRPr="00EC2040">
      <w:rPr>
        <w:noProof/>
        <w:sz w:val="20"/>
        <w:szCs w:val="20"/>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9A74A" w14:textId="77777777" w:rsidR="00025722" w:rsidRDefault="00025722" w:rsidP="00D509BD">
      <w:r>
        <w:t xml:space="preserve">                  </w:t>
      </w:r>
      <w:r>
        <w:separator/>
      </w:r>
    </w:p>
  </w:footnote>
  <w:footnote w:type="continuationSeparator" w:id="0">
    <w:p w14:paraId="58B0921C" w14:textId="77777777" w:rsidR="00025722" w:rsidRDefault="00025722" w:rsidP="00D509BD">
      <w:r>
        <w:continuationSeparator/>
      </w:r>
    </w:p>
  </w:footnote>
  <w:footnote w:id="1">
    <w:p w14:paraId="13BF138F" w14:textId="26600244" w:rsidR="00BE3350" w:rsidRDefault="00BE3350" w:rsidP="00BE3350">
      <w:pPr>
        <w:pStyle w:val="FootnoteText"/>
        <w:ind w:left="1008" w:right="1296"/>
      </w:pPr>
      <w:r>
        <w:rPr>
          <w:rStyle w:val="FootnoteReference"/>
        </w:rPr>
        <w:footnoteRef/>
      </w:r>
      <w:r>
        <w:t xml:space="preserve"> </w:t>
      </w:r>
      <w:r w:rsidR="0077513D" w:rsidRPr="0077513D">
        <w:t>National Bank of Georgia, Statistics Portal, https://nbg.gov.ge/en/statistics</w:t>
      </w:r>
    </w:p>
  </w:footnote>
  <w:footnote w:id="2">
    <w:p w14:paraId="7D11FB42" w14:textId="43612F1A" w:rsidR="0077513D" w:rsidRDefault="0077513D" w:rsidP="0077513D">
      <w:pPr>
        <w:pStyle w:val="FootnoteText"/>
        <w:ind w:left="1008" w:right="-144"/>
      </w:pPr>
      <w:r>
        <w:rPr>
          <w:rStyle w:val="FootnoteReference"/>
        </w:rPr>
        <w:footnoteRef/>
      </w:r>
      <w:r>
        <w:t xml:space="preserve"> </w:t>
      </w:r>
      <w:r w:rsidRPr="0077513D">
        <w:t>Georgia Today, "Georgia's IT Sector Generates $1.15 Billion in 2025," https://georgiatoday.ge/georgias-it-sector-generates-1-15-billion-in-2025/</w:t>
      </w:r>
    </w:p>
  </w:footnote>
  <w:footnote w:id="3">
    <w:p w14:paraId="32FC08F9" w14:textId="272D6CF0" w:rsidR="0077513D" w:rsidRDefault="0077513D" w:rsidP="0077513D">
      <w:pPr>
        <w:pStyle w:val="FootnoteText"/>
        <w:ind w:right="288"/>
        <w:jc w:val="left"/>
      </w:pPr>
      <w:r>
        <w:rPr>
          <w:rStyle w:val="FootnoteReference"/>
        </w:rPr>
        <w:footnoteRef/>
      </w:r>
      <w:r>
        <w:t xml:space="preserve"> </w:t>
      </w:r>
      <w:r w:rsidRPr="0077513D">
        <w:t>PMCG, IT Services in Georgia: Sector Snapshot No. 13 (April 2025), https://www.pmcresearch.org/slider_file/0b6467f78f3accc76.pdf</w:t>
      </w:r>
    </w:p>
  </w:footnote>
  <w:footnote w:id="4">
    <w:p w14:paraId="3309CAC5" w14:textId="52EB7C04" w:rsidR="0077513D" w:rsidRDefault="0077513D" w:rsidP="0077513D">
      <w:pPr>
        <w:pStyle w:val="FootnoteText"/>
        <w:ind w:right="1008"/>
        <w:jc w:val="left"/>
      </w:pPr>
      <w:r>
        <w:rPr>
          <w:rStyle w:val="FootnoteReference"/>
        </w:rPr>
        <w:footnoteRef/>
      </w:r>
      <w:r>
        <w:t xml:space="preserve"> </w:t>
      </w:r>
      <w:r w:rsidRPr="0077513D">
        <w:t>Galt &amp; Taggart, IT Sector in Georgia (May 2024), https://galtandtaggart.com/report/it-sector-in-georgia/</w:t>
      </w:r>
    </w:p>
  </w:footnote>
  <w:footnote w:id="5">
    <w:p w14:paraId="7CF156FB" w14:textId="3910BDF4" w:rsidR="0077513D" w:rsidRDefault="0077513D" w:rsidP="0077513D">
      <w:pPr>
        <w:pStyle w:val="FootnoteText"/>
        <w:ind w:right="432"/>
        <w:jc w:val="left"/>
      </w:pPr>
      <w:r>
        <w:rPr>
          <w:rStyle w:val="FootnoteReference"/>
        </w:rPr>
        <w:footnoteRef/>
      </w:r>
      <w:r>
        <w:t xml:space="preserve"> </w:t>
      </w:r>
      <w:r>
        <w:rPr>
          <w:color w:val="111827"/>
        </w:rPr>
        <w:t>BTU AI, "IT Export Boom in Georgia and Global Trends," https://btuai.ge/en/it-export-boom-in-georgia-and-global-trends/</w:t>
      </w:r>
    </w:p>
  </w:footnote>
  <w:footnote w:id="6">
    <w:p w14:paraId="016321C2" w14:textId="0D909DB5" w:rsidR="006274B0" w:rsidRDefault="006274B0" w:rsidP="00BE3350">
      <w:pPr>
        <w:pStyle w:val="FootnoteText"/>
        <w:ind w:right="720"/>
      </w:pPr>
      <w:r>
        <w:rPr>
          <w:rStyle w:val="FootnoteReference"/>
        </w:rPr>
        <w:footnoteRef/>
      </w:r>
      <w:r>
        <w:t xml:space="preserve"> </w:t>
      </w:r>
      <w:r w:rsidRPr="006274B0">
        <w:t>ICTA, "Tech Sector Unites at ICTA Quarterly Meeting" (October 2024), https://icta.ge/tech-sector-unites-at-icta-quarterly-meeting/</w:t>
      </w:r>
    </w:p>
  </w:footnote>
  <w:footnote w:id="7">
    <w:p w14:paraId="3E21A21C" w14:textId="294ECB01" w:rsidR="006274B0" w:rsidRDefault="006274B0">
      <w:pPr>
        <w:pStyle w:val="FootnoteText"/>
      </w:pPr>
      <w:r>
        <w:rPr>
          <w:rStyle w:val="FootnoteReference"/>
        </w:rPr>
        <w:footnoteRef/>
      </w:r>
      <w:r>
        <w:t xml:space="preserve"> </w:t>
      </w:r>
      <w:r w:rsidRPr="006274B0">
        <w:t>UN SDGs Partnership, "Georgia's Innovation and Technology Agency (GITA)," https://sdgs.un.org/partnerships/georgias-innovation-and-technology-agency-gita-enabler-vibrant-sustainable</w:t>
      </w:r>
    </w:p>
  </w:footnote>
  <w:footnote w:id="8">
    <w:p w14:paraId="64770F36" w14:textId="718B247A" w:rsidR="006274B0" w:rsidRDefault="006274B0">
      <w:pPr>
        <w:pStyle w:val="FootnoteText"/>
      </w:pPr>
      <w:r>
        <w:rPr>
          <w:rStyle w:val="FootnoteReference"/>
        </w:rPr>
        <w:footnoteRef/>
      </w:r>
      <w:r>
        <w:t xml:space="preserve"> </w:t>
      </w:r>
      <w:r w:rsidRPr="006274B0">
        <w:t>Investor.ge, "GITA Sets Its Sights on Global Recognition" (December 2022), https://www.investor.ge/2022/12/18/georgias-innovation-and-technology-agency-sets-its-sights-on-global-recognition/</w:t>
      </w:r>
    </w:p>
  </w:footnote>
  <w:footnote w:id="9">
    <w:p w14:paraId="1BCE19E1" w14:textId="46467231" w:rsidR="006274B0" w:rsidRDefault="006274B0">
      <w:pPr>
        <w:pStyle w:val="FootnoteText"/>
      </w:pPr>
      <w:r>
        <w:rPr>
          <w:rStyle w:val="FootnoteReference"/>
        </w:rPr>
        <w:footnoteRef/>
      </w:r>
      <w:r>
        <w:t xml:space="preserve"> </w:t>
      </w:r>
      <w:r w:rsidRPr="006274B0">
        <w:t>Agenda.ge, "Georgian Startups in Silicon Valley" (2017), https://agenda.ge/en/news/2017/622</w:t>
      </w:r>
    </w:p>
  </w:footnote>
  <w:footnote w:id="10">
    <w:p w14:paraId="07D4F4D0" w14:textId="0F9FD4C7" w:rsidR="006274B0" w:rsidRDefault="006274B0">
      <w:pPr>
        <w:pStyle w:val="FootnoteText"/>
      </w:pPr>
      <w:r>
        <w:rPr>
          <w:rStyle w:val="FootnoteReference"/>
        </w:rPr>
        <w:footnoteRef/>
      </w:r>
      <w:r>
        <w:t xml:space="preserve"> </w:t>
      </w:r>
      <w:r w:rsidRPr="006274B0">
        <w:t>MNE Tax, "Georgia Offers New Tax Incentives for Foreign IT Companies" (October 2020), https://mnetax.com/georgia-offers-new-tax-incentives-for-foreign-it-and-shipping-companies-40681</w:t>
      </w:r>
    </w:p>
  </w:footnote>
  <w:footnote w:id="11">
    <w:p w14:paraId="7CE42614" w14:textId="591553EE" w:rsidR="006274B0" w:rsidRDefault="006274B0">
      <w:pPr>
        <w:pStyle w:val="FootnoteText"/>
      </w:pPr>
      <w:r>
        <w:rPr>
          <w:rStyle w:val="FootnoteReference"/>
        </w:rPr>
        <w:footnoteRef/>
      </w:r>
      <w:r>
        <w:t xml:space="preserve"> </w:t>
      </w:r>
      <w:r w:rsidRPr="006274B0">
        <w:t>PB Services, "International Company Status," https://pbservices.ge/blog/it-company-in-georgia-an-international-company-status/</w:t>
      </w:r>
    </w:p>
  </w:footnote>
  <w:footnote w:id="12">
    <w:p w14:paraId="1B2D4322" w14:textId="31B3C57A" w:rsidR="006274B0" w:rsidRDefault="006274B0">
      <w:pPr>
        <w:pStyle w:val="FootnoteText"/>
      </w:pPr>
      <w:r>
        <w:rPr>
          <w:rStyle w:val="FootnoteReference"/>
        </w:rPr>
        <w:footnoteRef/>
      </w:r>
      <w:r>
        <w:t xml:space="preserve">  </w:t>
      </w:r>
      <w:r w:rsidRPr="006274B0">
        <w:t>ICTA, "ICTA's Quarterly Meeting Highlights Sector Developments and New Collaborations" (Q1 2026), https://icta.ge/ictas-quarterly-meeting-highlights-sector-developments-and-new-collaborations/</w:t>
      </w:r>
    </w:p>
  </w:footnote>
  <w:footnote w:id="13">
    <w:p w14:paraId="5EC02C7B" w14:textId="1D4FD802" w:rsidR="006274B0" w:rsidRDefault="006274B0">
      <w:pPr>
        <w:pStyle w:val="FootnoteText"/>
      </w:pPr>
      <w:r>
        <w:rPr>
          <w:rStyle w:val="FootnoteReference"/>
        </w:rPr>
        <w:footnoteRef/>
      </w:r>
      <w:r>
        <w:t xml:space="preserve"> </w:t>
      </w:r>
      <w:r>
        <w:rPr>
          <w:color w:val="111827"/>
        </w:rPr>
        <w:t>TechBehemoths, "IT Companies in Georgia," https://techbehemoths.com/companies/georgia</w:t>
      </w:r>
    </w:p>
  </w:footnote>
  <w:footnote w:id="14">
    <w:p w14:paraId="43B1BF20" w14:textId="2CDFE0B6" w:rsidR="006274B0" w:rsidRDefault="006274B0">
      <w:pPr>
        <w:pStyle w:val="FootnoteText"/>
      </w:pPr>
      <w:r>
        <w:rPr>
          <w:rStyle w:val="FootnoteReference"/>
        </w:rPr>
        <w:footnoteRef/>
      </w:r>
      <w:r>
        <w:t xml:space="preserve"> </w:t>
      </w:r>
      <w:r>
        <w:rPr>
          <w:color w:val="111827"/>
        </w:rPr>
        <w:t>Georgia Today, "From Fast Growth to Future-Proofing" (June 2025), https://georgiatoday.ge/from-fast-growth-to-future-proofing-whats-next-for-georgias-it-sector/</w:t>
      </w:r>
    </w:p>
  </w:footnote>
  <w:footnote w:id="15">
    <w:p w14:paraId="3DDC0077" w14:textId="609FB484" w:rsidR="006274B0" w:rsidRDefault="006274B0">
      <w:pPr>
        <w:pStyle w:val="FootnoteText"/>
      </w:pPr>
      <w:r>
        <w:rPr>
          <w:rStyle w:val="FootnoteReference"/>
        </w:rPr>
        <w:footnoteRef/>
      </w:r>
      <w:r>
        <w:t xml:space="preserve"> </w:t>
      </w:r>
      <w:r>
        <w:rPr>
          <w:color w:val="111827"/>
        </w:rPr>
        <w:t>The Law on Transparency of Foreign Influence, adopted by the Georgian parliament in May 2024, drew formal objections from the United States and the European Union as incompatible with Georgia's stated Euro-Atlantic integration commitments. The U.S. subsequently suspended $95 million in security assistance, imposed visa restrictions on Georgian officials, and downgraded bilateral diplomatic engagement. See U.S. Department of State statements, May–June 2024.</w:t>
      </w:r>
    </w:p>
  </w:footnote>
  <w:footnote w:id="16">
    <w:p w14:paraId="36629C3E" w14:textId="7AA96A02" w:rsidR="006274B0" w:rsidRDefault="006274B0">
      <w:pPr>
        <w:pStyle w:val="FootnoteText"/>
      </w:pPr>
      <w:r>
        <w:rPr>
          <w:rStyle w:val="FootnoteReference"/>
        </w:rPr>
        <w:footnoteRef/>
      </w:r>
      <w:r>
        <w:t xml:space="preserve"> </w:t>
      </w:r>
      <w:r>
        <w:rPr>
          <w:color w:val="111827"/>
        </w:rPr>
        <w:t>PR Newswire, "Firebird and U.S. Government Announce Phase 2 of Armenia AI Megaproject" (February 2026), https://www.prnewswire.com/news-releases/firebird-and-us-government-announce-phase-2-of-armenia-ai-megaproject-scaling-it-to-4-billion-and-50-000-gpu-in-2026--302683715.html</w:t>
      </w:r>
    </w:p>
  </w:footnote>
  <w:footnote w:id="17">
    <w:p w14:paraId="6FEA03AF" w14:textId="53781BAE" w:rsidR="006274B0" w:rsidRDefault="006274B0">
      <w:pPr>
        <w:pStyle w:val="FootnoteText"/>
      </w:pPr>
      <w:r>
        <w:rPr>
          <w:rStyle w:val="FootnoteReference"/>
        </w:rPr>
        <w:footnoteRef/>
      </w:r>
      <w:r>
        <w:t xml:space="preserve"> </w:t>
      </w:r>
      <w:r>
        <w:rPr>
          <w:color w:val="111827"/>
        </w:rPr>
        <w:t>Eurasianet, "Armenia AI Project: NVIDIA Chip Transfer Approved," https://eurasianet.org/armenia-nvidia-chip-transfer-approved-major-ai-project-confidently-moving-forward</w:t>
      </w:r>
    </w:p>
  </w:footnote>
  <w:footnote w:id="18">
    <w:p w14:paraId="567B504B" w14:textId="672C5864" w:rsidR="006274B0" w:rsidRDefault="006274B0">
      <w:pPr>
        <w:pStyle w:val="FootnoteText"/>
      </w:pPr>
      <w:r>
        <w:rPr>
          <w:rStyle w:val="FootnoteReference"/>
        </w:rPr>
        <w:t>15</w:t>
      </w:r>
      <w:r>
        <w:t xml:space="preserve"> </w:t>
      </w:r>
      <w:r>
        <w:rPr>
          <w:color w:val="111827"/>
        </w:rPr>
        <w:t>The Law on Transparency of Foreign Influence</w:t>
      </w:r>
    </w:p>
  </w:footnote>
  <w:footnote w:id="19">
    <w:p w14:paraId="2CB7A682" w14:textId="7B3DE5CF" w:rsidR="006274B0" w:rsidRDefault="006274B0">
      <w:pPr>
        <w:pStyle w:val="FootnoteText"/>
      </w:pPr>
      <w:r>
        <w:rPr>
          <w:rStyle w:val="FootnoteReference"/>
        </w:rPr>
        <w:footnoteRef/>
      </w:r>
      <w:r>
        <w:t xml:space="preserve"> </w:t>
      </w:r>
      <w:r>
        <w:rPr>
          <w:color w:val="111827"/>
        </w:rPr>
        <w:t>U.S.-Armenia Strategic Partnership Charter, signed January 2025; AI and Semiconductor Innovation Partnership MOU, signed August 8,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A3DC8" w14:textId="77777777" w:rsidR="00EC2040" w:rsidRPr="00EC2040" w:rsidRDefault="00365502" w:rsidP="00EC2040">
    <w:pPr>
      <w:pStyle w:val="Header"/>
      <w:jc w:val="center"/>
      <w:rPr>
        <w:i/>
      </w:rPr>
    </w:pPr>
    <w:r w:rsidRPr="00365502">
      <w:rPr>
        <w:rFonts w:ascii="Lucida Bright" w:hAnsi="Lucida Bright"/>
        <w:i/>
        <w:noProof/>
        <w:szCs w:val="24"/>
        <w:lang w:val="ru-RU" w:eastAsia="ru-RU"/>
      </w:rPr>
      <mc:AlternateContent>
        <mc:Choice Requires="wps">
          <w:drawing>
            <wp:anchor distT="0" distB="0" distL="114300" distR="114300" simplePos="0" relativeHeight="251656192" behindDoc="0" locked="0" layoutInCell="1" allowOverlap="1" wp14:anchorId="757996FD" wp14:editId="54A26710">
              <wp:simplePos x="0" y="0"/>
              <wp:positionH relativeFrom="column">
                <wp:posOffset>-67437</wp:posOffset>
              </wp:positionH>
              <wp:positionV relativeFrom="paragraph">
                <wp:posOffset>176530</wp:posOffset>
              </wp:positionV>
              <wp:extent cx="402336" cy="329184"/>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 cy="329184"/>
                      </a:xfrm>
                      <a:prstGeom prst="rect">
                        <a:avLst/>
                      </a:prstGeom>
                      <a:noFill/>
                      <a:ln w="9525">
                        <a:noFill/>
                        <a:miter lim="800000"/>
                        <a:headEnd/>
                        <a:tailEnd/>
                      </a:ln>
                    </wps:spPr>
                    <wps:txbx>
                      <w:txbxContent>
                        <w:p w14:paraId="3DBE79F8" w14:textId="4CFD7309" w:rsidR="00365502" w:rsidRDefault="00365502">
                          <w:r>
                            <w:fldChar w:fldCharType="begin"/>
                          </w:r>
                          <w:r>
                            <w:instrText xml:space="preserve"> PAGE   \* MERGEFORMAT </w:instrText>
                          </w:r>
                          <w:r>
                            <w:fldChar w:fldCharType="separate"/>
                          </w:r>
                          <w:r w:rsidR="00534CF8">
                            <w:rPr>
                              <w:noProof/>
                            </w:rPr>
                            <w:t>16</w:t>
                          </w:r>
                          <w:r>
                            <w:rPr>
                              <w:noProof/>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7996FD" id="_x0000_t202" coordsize="21600,21600" o:spt="202" path="m,l,21600r21600,l21600,xe">
              <v:stroke joinstyle="miter"/>
              <v:path gradientshapeok="t" o:connecttype="rect"/>
            </v:shapetype>
            <v:shape id="_x0000_s1028" type="#_x0000_t202" style="position:absolute;left:0;text-align:left;margin-left:-5.3pt;margin-top:13.9pt;width:31.7pt;height:25.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" filled="f" stroked="f">
              <v:textbox>
                <w:txbxContent>
                  <w:p w14:paraId="3DBE79F8" w14:textId="4CFD7309" w:rsidR="00365502" w:rsidRDefault="00365502">
                    <w:r>
                      <w:fldChar w:fldCharType="begin"/>
                    </w:r>
                    <w:r>
                      <w:instrText xml:space="preserve"> PAGE   \* MERGEFORMAT </w:instrText>
                    </w:r>
                    <w:r>
                      <w:fldChar w:fldCharType="separate"/>
                    </w:r>
                    <w:r w:rsidR="00534CF8">
                      <w:rPr>
                        <w:noProof/>
                      </w:rPr>
                      <w:t>16</w:t>
                    </w:r>
                    <w:r>
                      <w:rPr>
                        <w:noProof/>
                      </w:rPr>
                      <w:fldChar w:fldCharType="end"/>
                    </w:r>
                  </w:p>
                </w:txbxContent>
              </v:textbox>
            </v:shape>
          </w:pict>
        </mc:Fallback>
      </mc:AlternateContent>
    </w:r>
    <w:r w:rsidR="00EC2040">
      <w:rPr>
        <w:rFonts w:ascii="Lucida Bright" w:hAnsi="Lucida Bright"/>
        <w:i/>
        <w:szCs w:val="24"/>
      </w:rPr>
      <w:br/>
    </w:r>
    <w:r w:rsidR="00EC2040" w:rsidRPr="00EC2040">
      <w:rPr>
        <w:i/>
      </w:rPr>
      <w:t xml:space="preserve">Central Asia-Caucasus Analyst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A2D31" w14:textId="14E72527" w:rsidR="00EC2040" w:rsidRPr="009D0DB3" w:rsidRDefault="00365502" w:rsidP="007E0FAE">
    <w:pPr>
      <w:pStyle w:val="Header"/>
      <w:jc w:val="center"/>
      <w:rPr>
        <w:i/>
      </w:rPr>
    </w:pPr>
    <w:r w:rsidRPr="00365502">
      <w:rPr>
        <w:rFonts w:ascii="Lucida Bright" w:hAnsi="Lucida Bright"/>
        <w:i/>
        <w:noProof/>
        <w:szCs w:val="24"/>
        <w:lang w:val="ru-RU" w:eastAsia="ru-RU"/>
      </w:rPr>
      <mc:AlternateContent>
        <mc:Choice Requires="wps">
          <w:drawing>
            <wp:anchor distT="0" distB="0" distL="114300" distR="114300" simplePos="0" relativeHeight="251658240" behindDoc="0" locked="0" layoutInCell="1" allowOverlap="1" wp14:anchorId="7558B417" wp14:editId="6701CA0B">
              <wp:simplePos x="0" y="0"/>
              <wp:positionH relativeFrom="column">
                <wp:posOffset>6224016</wp:posOffset>
              </wp:positionH>
              <wp:positionV relativeFrom="paragraph">
                <wp:posOffset>152400</wp:posOffset>
              </wp:positionV>
              <wp:extent cx="353568" cy="32893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68" cy="328930"/>
                      </a:xfrm>
                      <a:prstGeom prst="rect">
                        <a:avLst/>
                      </a:prstGeom>
                      <a:noFill/>
                      <a:ln w="9525">
                        <a:noFill/>
                        <a:miter lim="800000"/>
                        <a:headEnd/>
                        <a:tailEnd/>
                      </a:ln>
                    </wps:spPr>
                    <wps:txbx>
                      <w:txbxContent>
                        <w:p w14:paraId="475F9523" w14:textId="6858B9DA" w:rsidR="00365502" w:rsidRDefault="00365502" w:rsidP="00365502">
                          <w:r>
                            <w:fldChar w:fldCharType="begin"/>
                          </w:r>
                          <w:r>
                            <w:instrText xml:space="preserve"> PAGE   \* MERGEFORMAT </w:instrText>
                          </w:r>
                          <w:r>
                            <w:fldChar w:fldCharType="separate"/>
                          </w:r>
                          <w:r w:rsidR="00534CF8">
                            <w:rPr>
                              <w:noProof/>
                            </w:rPr>
                            <w:t>17</w:t>
                          </w:r>
                          <w:r>
                            <w:rPr>
                              <w:noProof/>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58B417" id="_x0000_t202" coordsize="21600,21600" o:spt="202" path="m,l,21600r21600,l21600,xe">
              <v:stroke joinstyle="miter"/>
              <v:path gradientshapeok="t" o:connecttype="rect"/>
            </v:shapetype>
            <v:shape id="_x0000_s1029" type="#_x0000_t202" style="position:absolute;left:0;text-align:left;margin-left:490.1pt;margin-top:12pt;width:27.85pt;height:2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" filled="f" stroked="f">
              <v:textbox>
                <w:txbxContent>
                  <w:p w14:paraId="475F9523" w14:textId="6858B9DA" w:rsidR="00365502" w:rsidRDefault="00365502" w:rsidP="00365502">
                    <w:r>
                      <w:fldChar w:fldCharType="begin"/>
                    </w:r>
                    <w:r>
                      <w:instrText xml:space="preserve"> PAGE   \* MERGEFORMAT </w:instrText>
                    </w:r>
                    <w:r>
                      <w:fldChar w:fldCharType="separate"/>
                    </w:r>
                    <w:r w:rsidR="00534CF8">
                      <w:rPr>
                        <w:noProof/>
                      </w:rPr>
                      <w:t>17</w:t>
                    </w:r>
                    <w:r>
                      <w:rPr>
                        <w:noProof/>
                      </w:rPr>
                      <w:fldChar w:fldCharType="end"/>
                    </w:r>
                  </w:p>
                </w:txbxContent>
              </v:textbox>
            </v:shape>
          </w:pict>
        </mc:Fallback>
      </mc:AlternateContent>
    </w:r>
    <w:r w:rsidR="008A1EE2">
      <w:rPr>
        <w:i/>
      </w:rPr>
      <w:br/>
    </w:r>
    <w:r w:rsidR="007E0FAE" w:rsidRPr="007E0FAE">
      <w:rPr>
        <w:i/>
      </w:rPr>
      <w:t>Georgia’s Technology Export Sector: Growth Drivers and Structural Constraints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B1B91" w14:textId="77777777" w:rsidR="00066BD0" w:rsidRDefault="00066BD0" w:rsidP="00066BD0">
    <w:pPr>
      <w:pStyle w:val="Header"/>
      <w:jc w:val="center"/>
    </w:pPr>
    <w:r>
      <w:rPr>
        <w:noProof/>
        <w:lang w:val="ru-RU" w:eastAsia="ru-RU"/>
      </w:rPr>
      <w:drawing>
        <wp:inline distT="0" distB="0" distL="0" distR="0" wp14:anchorId="2DEAD288" wp14:editId="249B83D3">
          <wp:extent cx="7728668" cy="1163430"/>
          <wp:effectExtent l="0" t="0" r="5715" b="0"/>
          <wp:docPr id="105137264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ACI.png"/>
                  <pic:cNvPicPr/>
                </pic:nvPicPr>
                <pic:blipFill>
                  <a:blip r:embed="rId1">
                    <a:extLst>
                      <a:ext uri="{28A0092B-C50C-407E-A947-70E740481C1C}">
                        <a14:useLocalDpi xmlns:a14="http://schemas.microsoft.com/office/drawing/2010/main" val="0"/>
                      </a:ext>
                    </a:extLst>
                  </a:blip>
                  <a:stretch>
                    <a:fillRect/>
                  </a:stretch>
                </pic:blipFill>
                <pic:spPr>
                  <a:xfrm>
                    <a:off x="0" y="0"/>
                    <a:ext cx="7742826" cy="11655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241"/>
    <w:multiLevelType w:val="hybridMultilevel"/>
    <w:tmpl w:val="08DE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D0F1F"/>
    <w:multiLevelType w:val="hybridMultilevel"/>
    <w:tmpl w:val="37DC572A"/>
    <w:lvl w:ilvl="0" w:tplc="CEDA114E">
      <w:numFmt w:val="bullet"/>
      <w:lvlText w:val="-"/>
      <w:lvlJc w:val="left"/>
      <w:pPr>
        <w:ind w:left="460" w:hanging="360"/>
      </w:pPr>
      <w:rPr>
        <w:rFonts w:ascii="Calibri" w:eastAsia="Times New Roman" w:hAnsi="Calibri" w:cs="Calibri"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099F4B1D"/>
    <w:multiLevelType w:val="hybridMultilevel"/>
    <w:tmpl w:val="CAC0A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B3B29"/>
    <w:multiLevelType w:val="hybridMultilevel"/>
    <w:tmpl w:val="8038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11181"/>
    <w:multiLevelType w:val="hybridMultilevel"/>
    <w:tmpl w:val="431CF89E"/>
    <w:lvl w:ilvl="0" w:tplc="43B85334">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BD34C77"/>
    <w:multiLevelType w:val="hybridMultilevel"/>
    <w:tmpl w:val="59885362"/>
    <w:lvl w:ilvl="0" w:tplc="36A24254">
      <w:start w:val="1"/>
      <w:numFmt w:val="bullet"/>
      <w:lvlText w:val=""/>
      <w:lvlJc w:val="left"/>
      <w:pPr>
        <w:tabs>
          <w:tab w:val="num" w:pos="720"/>
        </w:tabs>
        <w:ind w:left="720" w:hanging="360"/>
      </w:pPr>
      <w:rPr>
        <w:rFonts w:ascii="Wingdings 3" w:hAnsi="Wingdings 3" w:hint="default"/>
      </w:rPr>
    </w:lvl>
    <w:lvl w:ilvl="1" w:tplc="FB2C8FEE" w:tentative="1">
      <w:start w:val="1"/>
      <w:numFmt w:val="bullet"/>
      <w:lvlText w:val=""/>
      <w:lvlJc w:val="left"/>
      <w:pPr>
        <w:tabs>
          <w:tab w:val="num" w:pos="1440"/>
        </w:tabs>
        <w:ind w:left="1440" w:hanging="360"/>
      </w:pPr>
      <w:rPr>
        <w:rFonts w:ascii="Wingdings 3" w:hAnsi="Wingdings 3" w:hint="default"/>
      </w:rPr>
    </w:lvl>
    <w:lvl w:ilvl="2" w:tplc="0680D85A" w:tentative="1">
      <w:start w:val="1"/>
      <w:numFmt w:val="bullet"/>
      <w:lvlText w:val=""/>
      <w:lvlJc w:val="left"/>
      <w:pPr>
        <w:tabs>
          <w:tab w:val="num" w:pos="2160"/>
        </w:tabs>
        <w:ind w:left="2160" w:hanging="360"/>
      </w:pPr>
      <w:rPr>
        <w:rFonts w:ascii="Wingdings 3" w:hAnsi="Wingdings 3" w:hint="default"/>
      </w:rPr>
    </w:lvl>
    <w:lvl w:ilvl="3" w:tplc="8EDAC7E8" w:tentative="1">
      <w:start w:val="1"/>
      <w:numFmt w:val="bullet"/>
      <w:lvlText w:val=""/>
      <w:lvlJc w:val="left"/>
      <w:pPr>
        <w:tabs>
          <w:tab w:val="num" w:pos="2880"/>
        </w:tabs>
        <w:ind w:left="2880" w:hanging="360"/>
      </w:pPr>
      <w:rPr>
        <w:rFonts w:ascii="Wingdings 3" w:hAnsi="Wingdings 3" w:hint="default"/>
      </w:rPr>
    </w:lvl>
    <w:lvl w:ilvl="4" w:tplc="BD9ECCD0" w:tentative="1">
      <w:start w:val="1"/>
      <w:numFmt w:val="bullet"/>
      <w:lvlText w:val=""/>
      <w:lvlJc w:val="left"/>
      <w:pPr>
        <w:tabs>
          <w:tab w:val="num" w:pos="3600"/>
        </w:tabs>
        <w:ind w:left="3600" w:hanging="360"/>
      </w:pPr>
      <w:rPr>
        <w:rFonts w:ascii="Wingdings 3" w:hAnsi="Wingdings 3" w:hint="default"/>
      </w:rPr>
    </w:lvl>
    <w:lvl w:ilvl="5" w:tplc="EEACCCE4" w:tentative="1">
      <w:start w:val="1"/>
      <w:numFmt w:val="bullet"/>
      <w:lvlText w:val=""/>
      <w:lvlJc w:val="left"/>
      <w:pPr>
        <w:tabs>
          <w:tab w:val="num" w:pos="4320"/>
        </w:tabs>
        <w:ind w:left="4320" w:hanging="360"/>
      </w:pPr>
      <w:rPr>
        <w:rFonts w:ascii="Wingdings 3" w:hAnsi="Wingdings 3" w:hint="default"/>
      </w:rPr>
    </w:lvl>
    <w:lvl w:ilvl="6" w:tplc="D7C40014" w:tentative="1">
      <w:start w:val="1"/>
      <w:numFmt w:val="bullet"/>
      <w:lvlText w:val=""/>
      <w:lvlJc w:val="left"/>
      <w:pPr>
        <w:tabs>
          <w:tab w:val="num" w:pos="5040"/>
        </w:tabs>
        <w:ind w:left="5040" w:hanging="360"/>
      </w:pPr>
      <w:rPr>
        <w:rFonts w:ascii="Wingdings 3" w:hAnsi="Wingdings 3" w:hint="default"/>
      </w:rPr>
    </w:lvl>
    <w:lvl w:ilvl="7" w:tplc="55A400E2" w:tentative="1">
      <w:start w:val="1"/>
      <w:numFmt w:val="bullet"/>
      <w:lvlText w:val=""/>
      <w:lvlJc w:val="left"/>
      <w:pPr>
        <w:tabs>
          <w:tab w:val="num" w:pos="5760"/>
        </w:tabs>
        <w:ind w:left="5760" w:hanging="360"/>
      </w:pPr>
      <w:rPr>
        <w:rFonts w:ascii="Wingdings 3" w:hAnsi="Wingdings 3" w:hint="default"/>
      </w:rPr>
    </w:lvl>
    <w:lvl w:ilvl="8" w:tplc="1AE086DA"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11FD4E73"/>
    <w:multiLevelType w:val="multilevel"/>
    <w:tmpl w:val="A36261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2BF5F12"/>
    <w:multiLevelType w:val="multilevel"/>
    <w:tmpl w:val="E300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770B22"/>
    <w:multiLevelType w:val="multilevel"/>
    <w:tmpl w:val="AEEAD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FB5528"/>
    <w:multiLevelType w:val="multilevel"/>
    <w:tmpl w:val="6A36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14630A"/>
    <w:multiLevelType w:val="hybridMultilevel"/>
    <w:tmpl w:val="869C9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E00128"/>
    <w:multiLevelType w:val="hybridMultilevel"/>
    <w:tmpl w:val="20DAAB7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E94A6B"/>
    <w:multiLevelType w:val="hybridMultilevel"/>
    <w:tmpl w:val="CBE48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41C79D7"/>
    <w:multiLevelType w:val="multilevel"/>
    <w:tmpl w:val="E2985B90"/>
    <w:lvl w:ilvl="0">
      <w:start w:val="1"/>
      <w:numFmt w:val="decimal"/>
      <w:lvlText w:val="%1."/>
      <w:lvlJc w:val="left"/>
      <w:pPr>
        <w:tabs>
          <w:tab w:val="num" w:pos="960"/>
        </w:tabs>
        <w:ind w:left="9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Heading2"/>
      <w:suff w:val="nothing"/>
      <w:lvlText w:val=""/>
      <w:lvlJc w:val="left"/>
      <w:pPr>
        <w:ind w:left="-600" w:firstLine="0"/>
      </w:pPr>
    </w:lvl>
    <w:lvl w:ilvl="2">
      <w:start w:val="1"/>
      <w:numFmt w:val="none"/>
      <w:suff w:val="nothing"/>
      <w:lvlText w:val=""/>
      <w:lvlJc w:val="left"/>
      <w:pPr>
        <w:ind w:left="-600" w:firstLine="0"/>
      </w:pPr>
    </w:lvl>
    <w:lvl w:ilvl="3">
      <w:start w:val="1"/>
      <w:numFmt w:val="none"/>
      <w:suff w:val="nothing"/>
      <w:lvlText w:val=""/>
      <w:lvlJc w:val="left"/>
      <w:pPr>
        <w:ind w:left="-600" w:firstLine="0"/>
      </w:pPr>
    </w:lvl>
    <w:lvl w:ilvl="4">
      <w:start w:val="1"/>
      <w:numFmt w:val="none"/>
      <w:suff w:val="nothing"/>
      <w:lvlText w:val=""/>
      <w:lvlJc w:val="left"/>
      <w:pPr>
        <w:ind w:left="-600" w:firstLine="0"/>
      </w:pPr>
    </w:lvl>
    <w:lvl w:ilvl="5">
      <w:start w:val="1"/>
      <w:numFmt w:val="none"/>
      <w:pStyle w:val="Heading6"/>
      <w:suff w:val="nothing"/>
      <w:lvlText w:val=""/>
      <w:lvlJc w:val="left"/>
      <w:pPr>
        <w:ind w:left="-600" w:firstLine="0"/>
      </w:pPr>
    </w:lvl>
    <w:lvl w:ilvl="6">
      <w:start w:val="1"/>
      <w:numFmt w:val="none"/>
      <w:pStyle w:val="Heading7"/>
      <w:suff w:val="nothing"/>
      <w:lvlText w:val=""/>
      <w:lvlJc w:val="left"/>
      <w:pPr>
        <w:ind w:left="-600" w:firstLine="0"/>
      </w:pPr>
    </w:lvl>
    <w:lvl w:ilvl="7">
      <w:start w:val="1"/>
      <w:numFmt w:val="none"/>
      <w:pStyle w:val="Heading8"/>
      <w:suff w:val="nothing"/>
      <w:lvlText w:val=""/>
      <w:lvlJc w:val="left"/>
      <w:pPr>
        <w:ind w:left="-600" w:firstLine="0"/>
      </w:pPr>
    </w:lvl>
    <w:lvl w:ilvl="8">
      <w:start w:val="1"/>
      <w:numFmt w:val="none"/>
      <w:pStyle w:val="Heading9"/>
      <w:suff w:val="nothing"/>
      <w:lvlText w:val=""/>
      <w:lvlJc w:val="left"/>
      <w:pPr>
        <w:ind w:left="-600" w:firstLine="0"/>
      </w:pPr>
    </w:lvl>
  </w:abstractNum>
  <w:abstractNum w:abstractNumId="14" w15:restartNumberingAfterBreak="0">
    <w:nsid w:val="2577085C"/>
    <w:multiLevelType w:val="multilevel"/>
    <w:tmpl w:val="E280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DF2ADA"/>
    <w:multiLevelType w:val="multilevel"/>
    <w:tmpl w:val="4B14B460"/>
    <w:lvl w:ilvl="0">
      <w:start w:val="1"/>
      <w:numFmt w:val="bullet"/>
      <w:lvlText w:val=""/>
      <w:lvlJc w:val="left"/>
      <w:pPr>
        <w:tabs>
          <w:tab w:val="num" w:pos="1200"/>
        </w:tabs>
        <w:ind w:left="1200" w:hanging="360"/>
      </w:pPr>
      <w:rPr>
        <w:rFonts w:ascii="Symbol" w:hAnsi="Symbol" w:hint="default"/>
        <w:sz w:val="20"/>
      </w:rPr>
    </w:lvl>
    <w:lvl w:ilvl="1" w:tentative="1">
      <w:start w:val="1"/>
      <w:numFmt w:val="bullet"/>
      <w:lvlText w:val="o"/>
      <w:lvlJc w:val="left"/>
      <w:pPr>
        <w:tabs>
          <w:tab w:val="num" w:pos="1920"/>
        </w:tabs>
        <w:ind w:left="1920" w:hanging="360"/>
      </w:pPr>
      <w:rPr>
        <w:rFonts w:ascii="Courier New" w:hAnsi="Courier New" w:hint="default"/>
        <w:sz w:val="20"/>
      </w:rPr>
    </w:lvl>
    <w:lvl w:ilvl="2" w:tentative="1">
      <w:start w:val="1"/>
      <w:numFmt w:val="bullet"/>
      <w:lvlText w:val=""/>
      <w:lvlJc w:val="left"/>
      <w:pPr>
        <w:tabs>
          <w:tab w:val="num" w:pos="2640"/>
        </w:tabs>
        <w:ind w:left="2640" w:hanging="360"/>
      </w:pPr>
      <w:rPr>
        <w:rFonts w:ascii="Wingdings" w:hAnsi="Wingdings" w:hint="default"/>
        <w:sz w:val="20"/>
      </w:rPr>
    </w:lvl>
    <w:lvl w:ilvl="3" w:tentative="1">
      <w:start w:val="1"/>
      <w:numFmt w:val="bullet"/>
      <w:lvlText w:val=""/>
      <w:lvlJc w:val="left"/>
      <w:pPr>
        <w:tabs>
          <w:tab w:val="num" w:pos="3360"/>
        </w:tabs>
        <w:ind w:left="3360" w:hanging="360"/>
      </w:pPr>
      <w:rPr>
        <w:rFonts w:ascii="Wingdings" w:hAnsi="Wingdings" w:hint="default"/>
        <w:sz w:val="20"/>
      </w:rPr>
    </w:lvl>
    <w:lvl w:ilvl="4" w:tentative="1">
      <w:start w:val="1"/>
      <w:numFmt w:val="bullet"/>
      <w:lvlText w:val=""/>
      <w:lvlJc w:val="left"/>
      <w:pPr>
        <w:tabs>
          <w:tab w:val="num" w:pos="4080"/>
        </w:tabs>
        <w:ind w:left="4080" w:hanging="360"/>
      </w:pPr>
      <w:rPr>
        <w:rFonts w:ascii="Wingdings" w:hAnsi="Wingdings" w:hint="default"/>
        <w:sz w:val="20"/>
      </w:rPr>
    </w:lvl>
    <w:lvl w:ilvl="5" w:tentative="1">
      <w:start w:val="1"/>
      <w:numFmt w:val="bullet"/>
      <w:lvlText w:val=""/>
      <w:lvlJc w:val="left"/>
      <w:pPr>
        <w:tabs>
          <w:tab w:val="num" w:pos="4800"/>
        </w:tabs>
        <w:ind w:left="4800" w:hanging="360"/>
      </w:pPr>
      <w:rPr>
        <w:rFonts w:ascii="Wingdings" w:hAnsi="Wingdings" w:hint="default"/>
        <w:sz w:val="20"/>
      </w:rPr>
    </w:lvl>
    <w:lvl w:ilvl="6" w:tentative="1">
      <w:start w:val="1"/>
      <w:numFmt w:val="bullet"/>
      <w:lvlText w:val=""/>
      <w:lvlJc w:val="left"/>
      <w:pPr>
        <w:tabs>
          <w:tab w:val="num" w:pos="5520"/>
        </w:tabs>
        <w:ind w:left="5520" w:hanging="360"/>
      </w:pPr>
      <w:rPr>
        <w:rFonts w:ascii="Wingdings" w:hAnsi="Wingdings" w:hint="default"/>
        <w:sz w:val="20"/>
      </w:rPr>
    </w:lvl>
    <w:lvl w:ilvl="7" w:tentative="1">
      <w:start w:val="1"/>
      <w:numFmt w:val="bullet"/>
      <w:lvlText w:val=""/>
      <w:lvlJc w:val="left"/>
      <w:pPr>
        <w:tabs>
          <w:tab w:val="num" w:pos="6240"/>
        </w:tabs>
        <w:ind w:left="6240" w:hanging="360"/>
      </w:pPr>
      <w:rPr>
        <w:rFonts w:ascii="Wingdings" w:hAnsi="Wingdings" w:hint="default"/>
        <w:sz w:val="20"/>
      </w:rPr>
    </w:lvl>
    <w:lvl w:ilvl="8" w:tentative="1">
      <w:start w:val="1"/>
      <w:numFmt w:val="bullet"/>
      <w:lvlText w:val=""/>
      <w:lvlJc w:val="left"/>
      <w:pPr>
        <w:tabs>
          <w:tab w:val="num" w:pos="6960"/>
        </w:tabs>
        <w:ind w:left="6960" w:hanging="360"/>
      </w:pPr>
      <w:rPr>
        <w:rFonts w:ascii="Wingdings" w:hAnsi="Wingdings" w:hint="default"/>
        <w:sz w:val="20"/>
      </w:rPr>
    </w:lvl>
  </w:abstractNum>
  <w:abstractNum w:abstractNumId="16" w15:restartNumberingAfterBreak="0">
    <w:nsid w:val="2A9C4B15"/>
    <w:multiLevelType w:val="multilevel"/>
    <w:tmpl w:val="5F92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4056AA"/>
    <w:multiLevelType w:val="hybridMultilevel"/>
    <w:tmpl w:val="ABDE0F00"/>
    <w:lvl w:ilvl="0" w:tplc="6024A1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6979B4"/>
    <w:multiLevelType w:val="hybridMultilevel"/>
    <w:tmpl w:val="8A0EDF76"/>
    <w:lvl w:ilvl="0" w:tplc="2EDC153C">
      <w:numFmt w:val="bullet"/>
      <w:lvlText w:val="•"/>
      <w:lvlJc w:val="left"/>
      <w:pPr>
        <w:ind w:left="360" w:hanging="360"/>
      </w:pPr>
      <w:rPr>
        <w:rFonts w:ascii="Yu Mincho" w:eastAsia="Yu Mincho" w:hAnsi="Yu Mincho" w:cstheme="minorBidi" w:hint="eastAsia"/>
      </w:rPr>
    </w:lvl>
    <w:lvl w:ilvl="1" w:tplc="E4C4D968" w:tentative="1">
      <w:start w:val="1"/>
      <w:numFmt w:val="bullet"/>
      <w:lvlText w:val=""/>
      <w:lvlJc w:val="left"/>
      <w:pPr>
        <w:ind w:left="840" w:hanging="420"/>
      </w:pPr>
      <w:rPr>
        <w:rFonts w:ascii="Wingdings" w:hAnsi="Wingdings" w:hint="default"/>
      </w:rPr>
    </w:lvl>
    <w:lvl w:ilvl="2" w:tplc="119E4B98" w:tentative="1">
      <w:start w:val="1"/>
      <w:numFmt w:val="bullet"/>
      <w:lvlText w:val=""/>
      <w:lvlJc w:val="left"/>
      <w:pPr>
        <w:ind w:left="1260" w:hanging="420"/>
      </w:pPr>
      <w:rPr>
        <w:rFonts w:ascii="Wingdings" w:hAnsi="Wingdings" w:hint="default"/>
      </w:rPr>
    </w:lvl>
    <w:lvl w:ilvl="3" w:tplc="6FD25014" w:tentative="1">
      <w:start w:val="1"/>
      <w:numFmt w:val="bullet"/>
      <w:lvlText w:val=""/>
      <w:lvlJc w:val="left"/>
      <w:pPr>
        <w:ind w:left="1680" w:hanging="420"/>
      </w:pPr>
      <w:rPr>
        <w:rFonts w:ascii="Wingdings" w:hAnsi="Wingdings" w:hint="default"/>
      </w:rPr>
    </w:lvl>
    <w:lvl w:ilvl="4" w:tplc="7B920C9E" w:tentative="1">
      <w:start w:val="1"/>
      <w:numFmt w:val="bullet"/>
      <w:lvlText w:val=""/>
      <w:lvlJc w:val="left"/>
      <w:pPr>
        <w:ind w:left="2100" w:hanging="420"/>
      </w:pPr>
      <w:rPr>
        <w:rFonts w:ascii="Wingdings" w:hAnsi="Wingdings" w:hint="default"/>
      </w:rPr>
    </w:lvl>
    <w:lvl w:ilvl="5" w:tplc="61C8C30C" w:tentative="1">
      <w:start w:val="1"/>
      <w:numFmt w:val="bullet"/>
      <w:lvlText w:val=""/>
      <w:lvlJc w:val="left"/>
      <w:pPr>
        <w:ind w:left="2520" w:hanging="420"/>
      </w:pPr>
      <w:rPr>
        <w:rFonts w:ascii="Wingdings" w:hAnsi="Wingdings" w:hint="default"/>
      </w:rPr>
    </w:lvl>
    <w:lvl w:ilvl="6" w:tplc="2E5E217C" w:tentative="1">
      <w:start w:val="1"/>
      <w:numFmt w:val="bullet"/>
      <w:lvlText w:val=""/>
      <w:lvlJc w:val="left"/>
      <w:pPr>
        <w:ind w:left="2940" w:hanging="420"/>
      </w:pPr>
      <w:rPr>
        <w:rFonts w:ascii="Wingdings" w:hAnsi="Wingdings" w:hint="default"/>
      </w:rPr>
    </w:lvl>
    <w:lvl w:ilvl="7" w:tplc="FB64F58C" w:tentative="1">
      <w:start w:val="1"/>
      <w:numFmt w:val="bullet"/>
      <w:lvlText w:val=""/>
      <w:lvlJc w:val="left"/>
      <w:pPr>
        <w:ind w:left="3360" w:hanging="420"/>
      </w:pPr>
      <w:rPr>
        <w:rFonts w:ascii="Wingdings" w:hAnsi="Wingdings" w:hint="default"/>
      </w:rPr>
    </w:lvl>
    <w:lvl w:ilvl="8" w:tplc="868AF722" w:tentative="1">
      <w:start w:val="1"/>
      <w:numFmt w:val="bullet"/>
      <w:lvlText w:val=""/>
      <w:lvlJc w:val="left"/>
      <w:pPr>
        <w:ind w:left="3780" w:hanging="420"/>
      </w:pPr>
      <w:rPr>
        <w:rFonts w:ascii="Wingdings" w:hAnsi="Wingdings" w:hint="default"/>
      </w:rPr>
    </w:lvl>
  </w:abstractNum>
  <w:abstractNum w:abstractNumId="19" w15:restartNumberingAfterBreak="0">
    <w:nsid w:val="36DF47D4"/>
    <w:multiLevelType w:val="hybridMultilevel"/>
    <w:tmpl w:val="813A03B0"/>
    <w:lvl w:ilvl="0" w:tplc="7D46714C">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0D4BB8"/>
    <w:multiLevelType w:val="hybridMultilevel"/>
    <w:tmpl w:val="51A8EA8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B32F5A"/>
    <w:multiLevelType w:val="hybridMultilevel"/>
    <w:tmpl w:val="8F008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4A478C"/>
    <w:multiLevelType w:val="hybridMultilevel"/>
    <w:tmpl w:val="0DC0CD18"/>
    <w:lvl w:ilvl="0" w:tplc="9DA8E288">
      <w:start w:val="1"/>
      <w:numFmt w:val="bullet"/>
      <w:lvlText w:val=""/>
      <w:lvlJc w:val="left"/>
      <w:pPr>
        <w:tabs>
          <w:tab w:val="num" w:pos="720"/>
        </w:tabs>
        <w:ind w:left="720" w:hanging="360"/>
      </w:pPr>
      <w:rPr>
        <w:rFonts w:ascii="Wingdings" w:hAnsi="Wingdings" w:hint="default"/>
      </w:rPr>
    </w:lvl>
    <w:lvl w:ilvl="1" w:tplc="0CB6FCD2" w:tentative="1">
      <w:start w:val="1"/>
      <w:numFmt w:val="bullet"/>
      <w:lvlText w:val=""/>
      <w:lvlJc w:val="left"/>
      <w:pPr>
        <w:tabs>
          <w:tab w:val="num" w:pos="1440"/>
        </w:tabs>
        <w:ind w:left="1440" w:hanging="360"/>
      </w:pPr>
      <w:rPr>
        <w:rFonts w:ascii="Wingdings" w:hAnsi="Wingdings" w:hint="default"/>
      </w:rPr>
    </w:lvl>
    <w:lvl w:ilvl="2" w:tplc="88AC8FD6" w:tentative="1">
      <w:start w:val="1"/>
      <w:numFmt w:val="bullet"/>
      <w:lvlText w:val=""/>
      <w:lvlJc w:val="left"/>
      <w:pPr>
        <w:tabs>
          <w:tab w:val="num" w:pos="2160"/>
        </w:tabs>
        <w:ind w:left="2160" w:hanging="360"/>
      </w:pPr>
      <w:rPr>
        <w:rFonts w:ascii="Wingdings" w:hAnsi="Wingdings" w:hint="default"/>
      </w:rPr>
    </w:lvl>
    <w:lvl w:ilvl="3" w:tplc="77A2E8AE" w:tentative="1">
      <w:start w:val="1"/>
      <w:numFmt w:val="bullet"/>
      <w:lvlText w:val=""/>
      <w:lvlJc w:val="left"/>
      <w:pPr>
        <w:tabs>
          <w:tab w:val="num" w:pos="2880"/>
        </w:tabs>
        <w:ind w:left="2880" w:hanging="360"/>
      </w:pPr>
      <w:rPr>
        <w:rFonts w:ascii="Wingdings" w:hAnsi="Wingdings" w:hint="default"/>
      </w:rPr>
    </w:lvl>
    <w:lvl w:ilvl="4" w:tplc="1196260C" w:tentative="1">
      <w:start w:val="1"/>
      <w:numFmt w:val="bullet"/>
      <w:lvlText w:val=""/>
      <w:lvlJc w:val="left"/>
      <w:pPr>
        <w:tabs>
          <w:tab w:val="num" w:pos="3600"/>
        </w:tabs>
        <w:ind w:left="3600" w:hanging="360"/>
      </w:pPr>
      <w:rPr>
        <w:rFonts w:ascii="Wingdings" w:hAnsi="Wingdings" w:hint="default"/>
      </w:rPr>
    </w:lvl>
    <w:lvl w:ilvl="5" w:tplc="094C0184" w:tentative="1">
      <w:start w:val="1"/>
      <w:numFmt w:val="bullet"/>
      <w:lvlText w:val=""/>
      <w:lvlJc w:val="left"/>
      <w:pPr>
        <w:tabs>
          <w:tab w:val="num" w:pos="4320"/>
        </w:tabs>
        <w:ind w:left="4320" w:hanging="360"/>
      </w:pPr>
      <w:rPr>
        <w:rFonts w:ascii="Wingdings" w:hAnsi="Wingdings" w:hint="default"/>
      </w:rPr>
    </w:lvl>
    <w:lvl w:ilvl="6" w:tplc="9B689616" w:tentative="1">
      <w:start w:val="1"/>
      <w:numFmt w:val="bullet"/>
      <w:lvlText w:val=""/>
      <w:lvlJc w:val="left"/>
      <w:pPr>
        <w:tabs>
          <w:tab w:val="num" w:pos="5040"/>
        </w:tabs>
        <w:ind w:left="5040" w:hanging="360"/>
      </w:pPr>
      <w:rPr>
        <w:rFonts w:ascii="Wingdings" w:hAnsi="Wingdings" w:hint="default"/>
      </w:rPr>
    </w:lvl>
    <w:lvl w:ilvl="7" w:tplc="5B9AB17E" w:tentative="1">
      <w:start w:val="1"/>
      <w:numFmt w:val="bullet"/>
      <w:lvlText w:val=""/>
      <w:lvlJc w:val="left"/>
      <w:pPr>
        <w:tabs>
          <w:tab w:val="num" w:pos="5760"/>
        </w:tabs>
        <w:ind w:left="5760" w:hanging="360"/>
      </w:pPr>
      <w:rPr>
        <w:rFonts w:ascii="Wingdings" w:hAnsi="Wingdings" w:hint="default"/>
      </w:rPr>
    </w:lvl>
    <w:lvl w:ilvl="8" w:tplc="B4A8366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844B13"/>
    <w:multiLevelType w:val="multilevel"/>
    <w:tmpl w:val="B362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F47D7A"/>
    <w:multiLevelType w:val="hybridMultilevel"/>
    <w:tmpl w:val="EF0E9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4247DD"/>
    <w:multiLevelType w:val="hybridMultilevel"/>
    <w:tmpl w:val="3618A5B8"/>
    <w:lvl w:ilvl="0" w:tplc="383A504A">
      <w:start w:val="1"/>
      <w:numFmt w:val="bullet"/>
      <w:lvlText w:val=""/>
      <w:lvlJc w:val="left"/>
      <w:pPr>
        <w:tabs>
          <w:tab w:val="num" w:pos="720"/>
        </w:tabs>
        <w:ind w:left="720" w:hanging="360"/>
      </w:pPr>
      <w:rPr>
        <w:rFonts w:ascii="Wingdings" w:hAnsi="Wingdings" w:hint="default"/>
      </w:rPr>
    </w:lvl>
    <w:lvl w:ilvl="1" w:tplc="BC1056A2" w:tentative="1">
      <w:start w:val="1"/>
      <w:numFmt w:val="bullet"/>
      <w:lvlText w:val=""/>
      <w:lvlJc w:val="left"/>
      <w:pPr>
        <w:tabs>
          <w:tab w:val="num" w:pos="1440"/>
        </w:tabs>
        <w:ind w:left="1440" w:hanging="360"/>
      </w:pPr>
      <w:rPr>
        <w:rFonts w:ascii="Wingdings" w:hAnsi="Wingdings" w:hint="default"/>
      </w:rPr>
    </w:lvl>
    <w:lvl w:ilvl="2" w:tplc="E20200D6" w:tentative="1">
      <w:start w:val="1"/>
      <w:numFmt w:val="bullet"/>
      <w:lvlText w:val=""/>
      <w:lvlJc w:val="left"/>
      <w:pPr>
        <w:tabs>
          <w:tab w:val="num" w:pos="2160"/>
        </w:tabs>
        <w:ind w:left="2160" w:hanging="360"/>
      </w:pPr>
      <w:rPr>
        <w:rFonts w:ascii="Wingdings" w:hAnsi="Wingdings" w:hint="default"/>
      </w:rPr>
    </w:lvl>
    <w:lvl w:ilvl="3" w:tplc="76D4365C" w:tentative="1">
      <w:start w:val="1"/>
      <w:numFmt w:val="bullet"/>
      <w:lvlText w:val=""/>
      <w:lvlJc w:val="left"/>
      <w:pPr>
        <w:tabs>
          <w:tab w:val="num" w:pos="2880"/>
        </w:tabs>
        <w:ind w:left="2880" w:hanging="360"/>
      </w:pPr>
      <w:rPr>
        <w:rFonts w:ascii="Wingdings" w:hAnsi="Wingdings" w:hint="default"/>
      </w:rPr>
    </w:lvl>
    <w:lvl w:ilvl="4" w:tplc="BAA251FA" w:tentative="1">
      <w:start w:val="1"/>
      <w:numFmt w:val="bullet"/>
      <w:lvlText w:val=""/>
      <w:lvlJc w:val="left"/>
      <w:pPr>
        <w:tabs>
          <w:tab w:val="num" w:pos="3600"/>
        </w:tabs>
        <w:ind w:left="3600" w:hanging="360"/>
      </w:pPr>
      <w:rPr>
        <w:rFonts w:ascii="Wingdings" w:hAnsi="Wingdings" w:hint="default"/>
      </w:rPr>
    </w:lvl>
    <w:lvl w:ilvl="5" w:tplc="4D703C14" w:tentative="1">
      <w:start w:val="1"/>
      <w:numFmt w:val="bullet"/>
      <w:lvlText w:val=""/>
      <w:lvlJc w:val="left"/>
      <w:pPr>
        <w:tabs>
          <w:tab w:val="num" w:pos="4320"/>
        </w:tabs>
        <w:ind w:left="4320" w:hanging="360"/>
      </w:pPr>
      <w:rPr>
        <w:rFonts w:ascii="Wingdings" w:hAnsi="Wingdings" w:hint="default"/>
      </w:rPr>
    </w:lvl>
    <w:lvl w:ilvl="6" w:tplc="13AAD266" w:tentative="1">
      <w:start w:val="1"/>
      <w:numFmt w:val="bullet"/>
      <w:lvlText w:val=""/>
      <w:lvlJc w:val="left"/>
      <w:pPr>
        <w:tabs>
          <w:tab w:val="num" w:pos="5040"/>
        </w:tabs>
        <w:ind w:left="5040" w:hanging="360"/>
      </w:pPr>
      <w:rPr>
        <w:rFonts w:ascii="Wingdings" w:hAnsi="Wingdings" w:hint="default"/>
      </w:rPr>
    </w:lvl>
    <w:lvl w:ilvl="7" w:tplc="1EE203B8" w:tentative="1">
      <w:start w:val="1"/>
      <w:numFmt w:val="bullet"/>
      <w:lvlText w:val=""/>
      <w:lvlJc w:val="left"/>
      <w:pPr>
        <w:tabs>
          <w:tab w:val="num" w:pos="5760"/>
        </w:tabs>
        <w:ind w:left="5760" w:hanging="360"/>
      </w:pPr>
      <w:rPr>
        <w:rFonts w:ascii="Wingdings" w:hAnsi="Wingdings" w:hint="default"/>
      </w:rPr>
    </w:lvl>
    <w:lvl w:ilvl="8" w:tplc="27124D3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BF6732"/>
    <w:multiLevelType w:val="hybridMultilevel"/>
    <w:tmpl w:val="4C04B3A8"/>
    <w:lvl w:ilvl="0" w:tplc="C2C44B64">
      <w:start w:val="1"/>
      <w:numFmt w:val="bullet"/>
      <w:lvlText w:val=""/>
      <w:lvlJc w:val="left"/>
      <w:pPr>
        <w:tabs>
          <w:tab w:val="num" w:pos="720"/>
        </w:tabs>
        <w:ind w:left="720" w:hanging="360"/>
      </w:pPr>
      <w:rPr>
        <w:rFonts w:ascii="Wingdings" w:hAnsi="Wingdings" w:hint="default"/>
      </w:rPr>
    </w:lvl>
    <w:lvl w:ilvl="1" w:tplc="8BD63AFA">
      <w:start w:val="1"/>
      <w:numFmt w:val="bullet"/>
      <w:lvlText w:val=""/>
      <w:lvlJc w:val="left"/>
      <w:pPr>
        <w:tabs>
          <w:tab w:val="num" w:pos="1440"/>
        </w:tabs>
        <w:ind w:left="1440" w:hanging="360"/>
      </w:pPr>
      <w:rPr>
        <w:rFonts w:ascii="Wingdings" w:hAnsi="Wingdings" w:hint="default"/>
      </w:rPr>
    </w:lvl>
    <w:lvl w:ilvl="2" w:tplc="DC8C6214">
      <w:start w:val="1"/>
      <w:numFmt w:val="bullet"/>
      <w:lvlText w:val=""/>
      <w:lvlJc w:val="left"/>
      <w:pPr>
        <w:tabs>
          <w:tab w:val="num" w:pos="2160"/>
        </w:tabs>
        <w:ind w:left="2160" w:hanging="360"/>
      </w:pPr>
      <w:rPr>
        <w:rFonts w:ascii="Wingdings" w:hAnsi="Wingdings" w:hint="default"/>
      </w:rPr>
    </w:lvl>
    <w:lvl w:ilvl="3" w:tplc="228230BC">
      <w:start w:val="1"/>
      <w:numFmt w:val="bullet"/>
      <w:lvlText w:val=""/>
      <w:lvlJc w:val="left"/>
      <w:pPr>
        <w:tabs>
          <w:tab w:val="num" w:pos="2880"/>
        </w:tabs>
        <w:ind w:left="2880" w:hanging="360"/>
      </w:pPr>
      <w:rPr>
        <w:rFonts w:ascii="Wingdings" w:hAnsi="Wingdings" w:hint="default"/>
      </w:rPr>
    </w:lvl>
    <w:lvl w:ilvl="4" w:tplc="E3FA85DE">
      <w:start w:val="1"/>
      <w:numFmt w:val="bullet"/>
      <w:lvlText w:val=""/>
      <w:lvlJc w:val="left"/>
      <w:pPr>
        <w:tabs>
          <w:tab w:val="num" w:pos="3600"/>
        </w:tabs>
        <w:ind w:left="3600" w:hanging="360"/>
      </w:pPr>
      <w:rPr>
        <w:rFonts w:ascii="Wingdings" w:hAnsi="Wingdings" w:hint="default"/>
      </w:rPr>
    </w:lvl>
    <w:lvl w:ilvl="5" w:tplc="25825560">
      <w:start w:val="1"/>
      <w:numFmt w:val="bullet"/>
      <w:lvlText w:val=""/>
      <w:lvlJc w:val="left"/>
      <w:pPr>
        <w:tabs>
          <w:tab w:val="num" w:pos="4320"/>
        </w:tabs>
        <w:ind w:left="4320" w:hanging="360"/>
      </w:pPr>
      <w:rPr>
        <w:rFonts w:ascii="Wingdings" w:hAnsi="Wingdings" w:hint="default"/>
      </w:rPr>
    </w:lvl>
    <w:lvl w:ilvl="6" w:tplc="A0AA06A4">
      <w:start w:val="1"/>
      <w:numFmt w:val="bullet"/>
      <w:lvlText w:val=""/>
      <w:lvlJc w:val="left"/>
      <w:pPr>
        <w:tabs>
          <w:tab w:val="num" w:pos="5040"/>
        </w:tabs>
        <w:ind w:left="5040" w:hanging="360"/>
      </w:pPr>
      <w:rPr>
        <w:rFonts w:ascii="Wingdings" w:hAnsi="Wingdings" w:hint="default"/>
      </w:rPr>
    </w:lvl>
    <w:lvl w:ilvl="7" w:tplc="44862B48">
      <w:start w:val="1"/>
      <w:numFmt w:val="bullet"/>
      <w:lvlText w:val=""/>
      <w:lvlJc w:val="left"/>
      <w:pPr>
        <w:tabs>
          <w:tab w:val="num" w:pos="5760"/>
        </w:tabs>
        <w:ind w:left="5760" w:hanging="360"/>
      </w:pPr>
      <w:rPr>
        <w:rFonts w:ascii="Wingdings" w:hAnsi="Wingdings" w:hint="default"/>
      </w:rPr>
    </w:lvl>
    <w:lvl w:ilvl="8" w:tplc="B046FDB6">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E93B13"/>
    <w:multiLevelType w:val="hybridMultilevel"/>
    <w:tmpl w:val="0FAC9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AB2AAA"/>
    <w:multiLevelType w:val="hybridMultilevel"/>
    <w:tmpl w:val="FE94FB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2ED08CD"/>
    <w:multiLevelType w:val="hybridMultilevel"/>
    <w:tmpl w:val="86C834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4F3905"/>
    <w:multiLevelType w:val="multilevel"/>
    <w:tmpl w:val="701AF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FD1540"/>
    <w:multiLevelType w:val="multilevel"/>
    <w:tmpl w:val="C752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F5437F"/>
    <w:multiLevelType w:val="hybridMultilevel"/>
    <w:tmpl w:val="559475E4"/>
    <w:lvl w:ilvl="0" w:tplc="171E2246">
      <w:numFmt w:val="bullet"/>
      <w:lvlText w:val="-"/>
      <w:lvlJc w:val="left"/>
      <w:pPr>
        <w:ind w:left="580" w:hanging="360"/>
      </w:pPr>
      <w:rPr>
        <w:rFonts w:ascii="Calibri" w:eastAsia="Times New Roman" w:hAnsi="Calibri" w:cs="Calibri"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33" w15:restartNumberingAfterBreak="0">
    <w:nsid w:val="6E447EF6"/>
    <w:multiLevelType w:val="hybridMultilevel"/>
    <w:tmpl w:val="1F5EDA18"/>
    <w:lvl w:ilvl="0" w:tplc="2DDE1796">
      <w:start w:val="1"/>
      <w:numFmt w:val="decimal"/>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2F0936"/>
    <w:multiLevelType w:val="multilevel"/>
    <w:tmpl w:val="2614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0F71D9"/>
    <w:multiLevelType w:val="hybridMultilevel"/>
    <w:tmpl w:val="BA447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554561"/>
    <w:multiLevelType w:val="multilevel"/>
    <w:tmpl w:val="A2BC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416458">
    <w:abstractNumId w:val="13"/>
  </w:num>
  <w:num w:numId="2" w16cid:durableId="968248368">
    <w:abstractNumId w:val="18"/>
  </w:num>
  <w:num w:numId="3" w16cid:durableId="1057777259">
    <w:abstractNumId w:val="11"/>
  </w:num>
  <w:num w:numId="4" w16cid:durableId="2115319529">
    <w:abstractNumId w:val="12"/>
  </w:num>
  <w:num w:numId="5" w16cid:durableId="107049823">
    <w:abstractNumId w:val="26"/>
  </w:num>
  <w:num w:numId="6" w16cid:durableId="37822590">
    <w:abstractNumId w:val="23"/>
  </w:num>
  <w:num w:numId="7" w16cid:durableId="1487820892">
    <w:abstractNumId w:val="34"/>
  </w:num>
  <w:num w:numId="8" w16cid:durableId="1882473468">
    <w:abstractNumId w:val="7"/>
  </w:num>
  <w:num w:numId="9" w16cid:durableId="540942566">
    <w:abstractNumId w:val="14"/>
  </w:num>
  <w:num w:numId="10" w16cid:durableId="29650815">
    <w:abstractNumId w:val="15"/>
  </w:num>
  <w:num w:numId="11" w16cid:durableId="335572489">
    <w:abstractNumId w:val="3"/>
  </w:num>
  <w:num w:numId="12" w16cid:durableId="877397160">
    <w:abstractNumId w:val="9"/>
  </w:num>
  <w:num w:numId="13" w16cid:durableId="1860007469">
    <w:abstractNumId w:val="32"/>
  </w:num>
  <w:num w:numId="14" w16cid:durableId="928778778">
    <w:abstractNumId w:val="1"/>
  </w:num>
  <w:num w:numId="15" w16cid:durableId="351880339">
    <w:abstractNumId w:val="30"/>
  </w:num>
  <w:num w:numId="16" w16cid:durableId="1529442663">
    <w:abstractNumId w:val="36"/>
  </w:num>
  <w:num w:numId="17" w16cid:durableId="1249922234">
    <w:abstractNumId w:val="19"/>
  </w:num>
  <w:num w:numId="18" w16cid:durableId="417748621">
    <w:abstractNumId w:val="31"/>
  </w:num>
  <w:num w:numId="19" w16cid:durableId="755320060">
    <w:abstractNumId w:val="24"/>
  </w:num>
  <w:num w:numId="20" w16cid:durableId="1461916247">
    <w:abstractNumId w:val="28"/>
  </w:num>
  <w:num w:numId="21" w16cid:durableId="233593029">
    <w:abstractNumId w:val="21"/>
  </w:num>
  <w:num w:numId="22" w16cid:durableId="1729645282">
    <w:abstractNumId w:val="0"/>
  </w:num>
  <w:num w:numId="23" w16cid:durableId="566307551">
    <w:abstractNumId w:val="29"/>
  </w:num>
  <w:num w:numId="24" w16cid:durableId="1249467083">
    <w:abstractNumId w:val="35"/>
  </w:num>
  <w:num w:numId="25" w16cid:durableId="1472595337">
    <w:abstractNumId w:val="27"/>
  </w:num>
  <w:num w:numId="26" w16cid:durableId="540480655">
    <w:abstractNumId w:val="8"/>
  </w:num>
  <w:num w:numId="27" w16cid:durableId="975453012">
    <w:abstractNumId w:val="16"/>
  </w:num>
  <w:num w:numId="28" w16cid:durableId="1612586629">
    <w:abstractNumId w:val="5"/>
  </w:num>
  <w:num w:numId="29" w16cid:durableId="954209868">
    <w:abstractNumId w:val="20"/>
  </w:num>
  <w:num w:numId="30" w16cid:durableId="1293513110">
    <w:abstractNumId w:val="33"/>
  </w:num>
  <w:num w:numId="31" w16cid:durableId="1698659395">
    <w:abstractNumId w:val="10"/>
  </w:num>
  <w:num w:numId="32" w16cid:durableId="1744136080">
    <w:abstractNumId w:val="25"/>
  </w:num>
  <w:num w:numId="33" w16cid:durableId="326784822">
    <w:abstractNumId w:val="22"/>
  </w:num>
  <w:num w:numId="34" w16cid:durableId="2097481819">
    <w:abstractNumId w:val="17"/>
  </w:num>
  <w:num w:numId="35" w16cid:durableId="1901942890">
    <w:abstractNumId w:val="6"/>
  </w:num>
  <w:num w:numId="36" w16cid:durableId="1839226969">
    <w:abstractNumId w:val="2"/>
  </w:num>
  <w:num w:numId="37" w16cid:durableId="1956971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bordersDoNotSurroundHeader/>
  <w:bordersDoNotSurroundFooter/>
  <w:defaultTabStop w:val="720"/>
  <w:autoHyphenation/>
  <w:hyphenationZone w:val="425"/>
  <w:evenAndOddHeaders/>
  <w:characterSpacingControl w:val="doNotCompress"/>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DE5"/>
    <w:rsid w:val="00000839"/>
    <w:rsid w:val="00001484"/>
    <w:rsid w:val="0000179A"/>
    <w:rsid w:val="000020F7"/>
    <w:rsid w:val="000044CC"/>
    <w:rsid w:val="0000542E"/>
    <w:rsid w:val="000063DE"/>
    <w:rsid w:val="00010B29"/>
    <w:rsid w:val="00012BA7"/>
    <w:rsid w:val="00015868"/>
    <w:rsid w:val="00016C68"/>
    <w:rsid w:val="00016DBA"/>
    <w:rsid w:val="00017AF6"/>
    <w:rsid w:val="00021AEA"/>
    <w:rsid w:val="000223EB"/>
    <w:rsid w:val="00022A43"/>
    <w:rsid w:val="00024A21"/>
    <w:rsid w:val="00025722"/>
    <w:rsid w:val="00026C90"/>
    <w:rsid w:val="00026CC8"/>
    <w:rsid w:val="000316B0"/>
    <w:rsid w:val="00036137"/>
    <w:rsid w:val="000365CB"/>
    <w:rsid w:val="0003729E"/>
    <w:rsid w:val="0004098F"/>
    <w:rsid w:val="00043A4C"/>
    <w:rsid w:val="00044D62"/>
    <w:rsid w:val="000450BA"/>
    <w:rsid w:val="0004593F"/>
    <w:rsid w:val="000477BD"/>
    <w:rsid w:val="00047B83"/>
    <w:rsid w:val="00050C64"/>
    <w:rsid w:val="00052D67"/>
    <w:rsid w:val="000552EF"/>
    <w:rsid w:val="00060809"/>
    <w:rsid w:val="00061C0B"/>
    <w:rsid w:val="000625AB"/>
    <w:rsid w:val="000636BF"/>
    <w:rsid w:val="00063D04"/>
    <w:rsid w:val="00063F7C"/>
    <w:rsid w:val="00066BD0"/>
    <w:rsid w:val="0007395F"/>
    <w:rsid w:val="0007399E"/>
    <w:rsid w:val="00073B51"/>
    <w:rsid w:val="00076B06"/>
    <w:rsid w:val="00080681"/>
    <w:rsid w:val="0008183D"/>
    <w:rsid w:val="00081A00"/>
    <w:rsid w:val="00084FD1"/>
    <w:rsid w:val="0008598A"/>
    <w:rsid w:val="00086DB4"/>
    <w:rsid w:val="00093132"/>
    <w:rsid w:val="000A027D"/>
    <w:rsid w:val="000A2F8B"/>
    <w:rsid w:val="000A35AC"/>
    <w:rsid w:val="000A50DB"/>
    <w:rsid w:val="000A5540"/>
    <w:rsid w:val="000A7DC4"/>
    <w:rsid w:val="000B1126"/>
    <w:rsid w:val="000B19D6"/>
    <w:rsid w:val="000B1D3F"/>
    <w:rsid w:val="000B35A0"/>
    <w:rsid w:val="000B4CF9"/>
    <w:rsid w:val="000B69D7"/>
    <w:rsid w:val="000B78D8"/>
    <w:rsid w:val="000C08EF"/>
    <w:rsid w:val="000C154A"/>
    <w:rsid w:val="000C6B4C"/>
    <w:rsid w:val="000C7D16"/>
    <w:rsid w:val="000D1194"/>
    <w:rsid w:val="000D2050"/>
    <w:rsid w:val="000D20DE"/>
    <w:rsid w:val="000D2814"/>
    <w:rsid w:val="000D35BD"/>
    <w:rsid w:val="000D387B"/>
    <w:rsid w:val="000D5447"/>
    <w:rsid w:val="000E02A8"/>
    <w:rsid w:val="000E063E"/>
    <w:rsid w:val="000E105D"/>
    <w:rsid w:val="000E4E90"/>
    <w:rsid w:val="000E5702"/>
    <w:rsid w:val="000E58E0"/>
    <w:rsid w:val="000E620A"/>
    <w:rsid w:val="000E6FB5"/>
    <w:rsid w:val="000E755F"/>
    <w:rsid w:val="000F0378"/>
    <w:rsid w:val="000F27DF"/>
    <w:rsid w:val="000F3095"/>
    <w:rsid w:val="000F3E7F"/>
    <w:rsid w:val="000F7319"/>
    <w:rsid w:val="00101F2C"/>
    <w:rsid w:val="00102188"/>
    <w:rsid w:val="00102189"/>
    <w:rsid w:val="00102FAA"/>
    <w:rsid w:val="00105E7E"/>
    <w:rsid w:val="00106885"/>
    <w:rsid w:val="001145C5"/>
    <w:rsid w:val="00120AA1"/>
    <w:rsid w:val="00121185"/>
    <w:rsid w:val="0012354A"/>
    <w:rsid w:val="001300A9"/>
    <w:rsid w:val="0013182B"/>
    <w:rsid w:val="00131D56"/>
    <w:rsid w:val="00132ADC"/>
    <w:rsid w:val="0013368B"/>
    <w:rsid w:val="001378CD"/>
    <w:rsid w:val="00140E7B"/>
    <w:rsid w:val="00141015"/>
    <w:rsid w:val="00141027"/>
    <w:rsid w:val="00142267"/>
    <w:rsid w:val="001424C0"/>
    <w:rsid w:val="00144B4B"/>
    <w:rsid w:val="00145813"/>
    <w:rsid w:val="00146188"/>
    <w:rsid w:val="001469DC"/>
    <w:rsid w:val="001555BE"/>
    <w:rsid w:val="0015732C"/>
    <w:rsid w:val="001611B5"/>
    <w:rsid w:val="00161E3A"/>
    <w:rsid w:val="00161EAB"/>
    <w:rsid w:val="00163B67"/>
    <w:rsid w:val="001659C0"/>
    <w:rsid w:val="001659FD"/>
    <w:rsid w:val="001664FB"/>
    <w:rsid w:val="00171FD6"/>
    <w:rsid w:val="0017281C"/>
    <w:rsid w:val="0017428B"/>
    <w:rsid w:val="00177506"/>
    <w:rsid w:val="00177D57"/>
    <w:rsid w:val="00181D71"/>
    <w:rsid w:val="0018241C"/>
    <w:rsid w:val="001876CA"/>
    <w:rsid w:val="0019394E"/>
    <w:rsid w:val="00196865"/>
    <w:rsid w:val="001A0A36"/>
    <w:rsid w:val="001A1B90"/>
    <w:rsid w:val="001A356C"/>
    <w:rsid w:val="001A56CD"/>
    <w:rsid w:val="001A7DC9"/>
    <w:rsid w:val="001B19DC"/>
    <w:rsid w:val="001B1F98"/>
    <w:rsid w:val="001B2FAD"/>
    <w:rsid w:val="001B35C5"/>
    <w:rsid w:val="001B3AE2"/>
    <w:rsid w:val="001B73C1"/>
    <w:rsid w:val="001C418F"/>
    <w:rsid w:val="001C63F9"/>
    <w:rsid w:val="001D0C25"/>
    <w:rsid w:val="001D0DE7"/>
    <w:rsid w:val="001D54CD"/>
    <w:rsid w:val="001D763E"/>
    <w:rsid w:val="001D787A"/>
    <w:rsid w:val="001D79CD"/>
    <w:rsid w:val="001E2BFD"/>
    <w:rsid w:val="001E7A1C"/>
    <w:rsid w:val="001F4187"/>
    <w:rsid w:val="00200944"/>
    <w:rsid w:val="00202848"/>
    <w:rsid w:val="002029F4"/>
    <w:rsid w:val="00202A81"/>
    <w:rsid w:val="00203D84"/>
    <w:rsid w:val="00203F87"/>
    <w:rsid w:val="002045DB"/>
    <w:rsid w:val="00205A6B"/>
    <w:rsid w:val="0020631E"/>
    <w:rsid w:val="00206A19"/>
    <w:rsid w:val="002169B9"/>
    <w:rsid w:val="002222B5"/>
    <w:rsid w:val="00224CCE"/>
    <w:rsid w:val="00225AF7"/>
    <w:rsid w:val="00226180"/>
    <w:rsid w:val="00230D50"/>
    <w:rsid w:val="00231908"/>
    <w:rsid w:val="00233829"/>
    <w:rsid w:val="00233B55"/>
    <w:rsid w:val="00233F7D"/>
    <w:rsid w:val="0023553F"/>
    <w:rsid w:val="002432D1"/>
    <w:rsid w:val="00243372"/>
    <w:rsid w:val="00243829"/>
    <w:rsid w:val="00243C2C"/>
    <w:rsid w:val="00244751"/>
    <w:rsid w:val="002448F7"/>
    <w:rsid w:val="00245376"/>
    <w:rsid w:val="00246761"/>
    <w:rsid w:val="00247544"/>
    <w:rsid w:val="0025131B"/>
    <w:rsid w:val="0025371C"/>
    <w:rsid w:val="00253B9B"/>
    <w:rsid w:val="00255249"/>
    <w:rsid w:val="00257722"/>
    <w:rsid w:val="0026229A"/>
    <w:rsid w:val="00264D0A"/>
    <w:rsid w:val="002665CD"/>
    <w:rsid w:val="00267E18"/>
    <w:rsid w:val="002709CA"/>
    <w:rsid w:val="002724EB"/>
    <w:rsid w:val="00272CFB"/>
    <w:rsid w:val="00273F1F"/>
    <w:rsid w:val="00277577"/>
    <w:rsid w:val="00281B18"/>
    <w:rsid w:val="002821A8"/>
    <w:rsid w:val="002843EE"/>
    <w:rsid w:val="00286532"/>
    <w:rsid w:val="00290FF7"/>
    <w:rsid w:val="00292735"/>
    <w:rsid w:val="00293568"/>
    <w:rsid w:val="002948D5"/>
    <w:rsid w:val="00294F91"/>
    <w:rsid w:val="00296225"/>
    <w:rsid w:val="002A3959"/>
    <w:rsid w:val="002A6629"/>
    <w:rsid w:val="002B07AD"/>
    <w:rsid w:val="002B1357"/>
    <w:rsid w:val="002B47B6"/>
    <w:rsid w:val="002B776F"/>
    <w:rsid w:val="002C5190"/>
    <w:rsid w:val="002D03FF"/>
    <w:rsid w:val="002D1187"/>
    <w:rsid w:val="002D29B7"/>
    <w:rsid w:val="002D3172"/>
    <w:rsid w:val="002D3DB2"/>
    <w:rsid w:val="002E08B5"/>
    <w:rsid w:val="002E52C5"/>
    <w:rsid w:val="002E553B"/>
    <w:rsid w:val="002E5B81"/>
    <w:rsid w:val="002E5FB0"/>
    <w:rsid w:val="002E6238"/>
    <w:rsid w:val="002E737C"/>
    <w:rsid w:val="002F00C1"/>
    <w:rsid w:val="002F02B8"/>
    <w:rsid w:val="002F15F4"/>
    <w:rsid w:val="002F2CF4"/>
    <w:rsid w:val="002F2FFB"/>
    <w:rsid w:val="002F5EBC"/>
    <w:rsid w:val="002F67A8"/>
    <w:rsid w:val="002F68D0"/>
    <w:rsid w:val="002F7E96"/>
    <w:rsid w:val="00301CC3"/>
    <w:rsid w:val="0030343E"/>
    <w:rsid w:val="0030543F"/>
    <w:rsid w:val="003061FC"/>
    <w:rsid w:val="00306792"/>
    <w:rsid w:val="00311002"/>
    <w:rsid w:val="00314799"/>
    <w:rsid w:val="00315642"/>
    <w:rsid w:val="003167C3"/>
    <w:rsid w:val="00316DDC"/>
    <w:rsid w:val="003206BE"/>
    <w:rsid w:val="003226C0"/>
    <w:rsid w:val="0032306D"/>
    <w:rsid w:val="00324717"/>
    <w:rsid w:val="00325C97"/>
    <w:rsid w:val="00325D4D"/>
    <w:rsid w:val="003327F0"/>
    <w:rsid w:val="003337B0"/>
    <w:rsid w:val="00336F0F"/>
    <w:rsid w:val="00342134"/>
    <w:rsid w:val="00342AA3"/>
    <w:rsid w:val="00345CE1"/>
    <w:rsid w:val="0034613E"/>
    <w:rsid w:val="00350AD9"/>
    <w:rsid w:val="00352E24"/>
    <w:rsid w:val="003537DE"/>
    <w:rsid w:val="00353873"/>
    <w:rsid w:val="00360AD8"/>
    <w:rsid w:val="003610C1"/>
    <w:rsid w:val="00362825"/>
    <w:rsid w:val="003629D9"/>
    <w:rsid w:val="0036332F"/>
    <w:rsid w:val="0036456A"/>
    <w:rsid w:val="00365502"/>
    <w:rsid w:val="00370396"/>
    <w:rsid w:val="0037063D"/>
    <w:rsid w:val="00373DF5"/>
    <w:rsid w:val="00374537"/>
    <w:rsid w:val="003750C7"/>
    <w:rsid w:val="003765D6"/>
    <w:rsid w:val="00376E6E"/>
    <w:rsid w:val="00377EFE"/>
    <w:rsid w:val="00377FA3"/>
    <w:rsid w:val="00381864"/>
    <w:rsid w:val="003849F5"/>
    <w:rsid w:val="00384CE5"/>
    <w:rsid w:val="00384DCB"/>
    <w:rsid w:val="00384F98"/>
    <w:rsid w:val="00390D0A"/>
    <w:rsid w:val="00391A3B"/>
    <w:rsid w:val="00392863"/>
    <w:rsid w:val="00392C81"/>
    <w:rsid w:val="0039303E"/>
    <w:rsid w:val="00394F70"/>
    <w:rsid w:val="0039519B"/>
    <w:rsid w:val="003957E8"/>
    <w:rsid w:val="003A042F"/>
    <w:rsid w:val="003A0F0A"/>
    <w:rsid w:val="003A3BD3"/>
    <w:rsid w:val="003A44C1"/>
    <w:rsid w:val="003A59D7"/>
    <w:rsid w:val="003A76A2"/>
    <w:rsid w:val="003A787E"/>
    <w:rsid w:val="003B021E"/>
    <w:rsid w:val="003B05B8"/>
    <w:rsid w:val="003B07AE"/>
    <w:rsid w:val="003B1617"/>
    <w:rsid w:val="003B3127"/>
    <w:rsid w:val="003C06BF"/>
    <w:rsid w:val="003C161C"/>
    <w:rsid w:val="003C6420"/>
    <w:rsid w:val="003C736B"/>
    <w:rsid w:val="003C7660"/>
    <w:rsid w:val="003C7AE5"/>
    <w:rsid w:val="003D4F40"/>
    <w:rsid w:val="003D5187"/>
    <w:rsid w:val="003D725E"/>
    <w:rsid w:val="003D76E6"/>
    <w:rsid w:val="003D7E2B"/>
    <w:rsid w:val="003E26E7"/>
    <w:rsid w:val="003E2C40"/>
    <w:rsid w:val="003E4351"/>
    <w:rsid w:val="003E446E"/>
    <w:rsid w:val="003E4842"/>
    <w:rsid w:val="003E591A"/>
    <w:rsid w:val="003E5993"/>
    <w:rsid w:val="003E5DBA"/>
    <w:rsid w:val="003E648C"/>
    <w:rsid w:val="003F0BD5"/>
    <w:rsid w:val="003F589E"/>
    <w:rsid w:val="003F798C"/>
    <w:rsid w:val="004035BD"/>
    <w:rsid w:val="0040394B"/>
    <w:rsid w:val="004062D9"/>
    <w:rsid w:val="004063EC"/>
    <w:rsid w:val="004079C0"/>
    <w:rsid w:val="00407D18"/>
    <w:rsid w:val="00411AD6"/>
    <w:rsid w:val="004150CC"/>
    <w:rsid w:val="004178D5"/>
    <w:rsid w:val="004206E4"/>
    <w:rsid w:val="00422739"/>
    <w:rsid w:val="00424B4E"/>
    <w:rsid w:val="00425BFA"/>
    <w:rsid w:val="00426D1E"/>
    <w:rsid w:val="00427392"/>
    <w:rsid w:val="00430AB7"/>
    <w:rsid w:val="00432BBF"/>
    <w:rsid w:val="00432F06"/>
    <w:rsid w:val="00433DF0"/>
    <w:rsid w:val="00437539"/>
    <w:rsid w:val="00440974"/>
    <w:rsid w:val="00440FAD"/>
    <w:rsid w:val="00441023"/>
    <w:rsid w:val="00441AE7"/>
    <w:rsid w:val="004420BB"/>
    <w:rsid w:val="004434A0"/>
    <w:rsid w:val="004439CD"/>
    <w:rsid w:val="00443FBF"/>
    <w:rsid w:val="00446852"/>
    <w:rsid w:val="00451049"/>
    <w:rsid w:val="00453E21"/>
    <w:rsid w:val="004555A4"/>
    <w:rsid w:val="004555D9"/>
    <w:rsid w:val="00460F49"/>
    <w:rsid w:val="00461734"/>
    <w:rsid w:val="00462350"/>
    <w:rsid w:val="00463B7E"/>
    <w:rsid w:val="00466848"/>
    <w:rsid w:val="004670BE"/>
    <w:rsid w:val="00467EEA"/>
    <w:rsid w:val="00470053"/>
    <w:rsid w:val="00472E2B"/>
    <w:rsid w:val="004734FB"/>
    <w:rsid w:val="004737F0"/>
    <w:rsid w:val="00474250"/>
    <w:rsid w:val="00476410"/>
    <w:rsid w:val="00476A94"/>
    <w:rsid w:val="00477CFC"/>
    <w:rsid w:val="004806F4"/>
    <w:rsid w:val="00482FBB"/>
    <w:rsid w:val="0048455D"/>
    <w:rsid w:val="00484563"/>
    <w:rsid w:val="00486A67"/>
    <w:rsid w:val="004876C5"/>
    <w:rsid w:val="00494C54"/>
    <w:rsid w:val="004A1948"/>
    <w:rsid w:val="004A48F5"/>
    <w:rsid w:val="004A6731"/>
    <w:rsid w:val="004A6CDA"/>
    <w:rsid w:val="004A7049"/>
    <w:rsid w:val="004B295F"/>
    <w:rsid w:val="004B326C"/>
    <w:rsid w:val="004B78B9"/>
    <w:rsid w:val="004B7B97"/>
    <w:rsid w:val="004C0475"/>
    <w:rsid w:val="004C396E"/>
    <w:rsid w:val="004C4B2F"/>
    <w:rsid w:val="004C5C56"/>
    <w:rsid w:val="004C7D7D"/>
    <w:rsid w:val="004E2E6B"/>
    <w:rsid w:val="004E355F"/>
    <w:rsid w:val="004E359F"/>
    <w:rsid w:val="004E3EA3"/>
    <w:rsid w:val="004E4767"/>
    <w:rsid w:val="004E5DEE"/>
    <w:rsid w:val="004E6619"/>
    <w:rsid w:val="004E7153"/>
    <w:rsid w:val="004F06B9"/>
    <w:rsid w:val="004F58A1"/>
    <w:rsid w:val="004F7C59"/>
    <w:rsid w:val="0050105F"/>
    <w:rsid w:val="00503915"/>
    <w:rsid w:val="00503E02"/>
    <w:rsid w:val="00505664"/>
    <w:rsid w:val="00505823"/>
    <w:rsid w:val="005058AD"/>
    <w:rsid w:val="00505A11"/>
    <w:rsid w:val="0051401C"/>
    <w:rsid w:val="0051431E"/>
    <w:rsid w:val="00514BEE"/>
    <w:rsid w:val="00514DE4"/>
    <w:rsid w:val="00515A46"/>
    <w:rsid w:val="00520B40"/>
    <w:rsid w:val="0052120E"/>
    <w:rsid w:val="005261B9"/>
    <w:rsid w:val="0052738C"/>
    <w:rsid w:val="005302A5"/>
    <w:rsid w:val="00531656"/>
    <w:rsid w:val="00532CEF"/>
    <w:rsid w:val="00534CF8"/>
    <w:rsid w:val="00534D1A"/>
    <w:rsid w:val="00534F96"/>
    <w:rsid w:val="00535BC7"/>
    <w:rsid w:val="00535FFA"/>
    <w:rsid w:val="00536035"/>
    <w:rsid w:val="005371B6"/>
    <w:rsid w:val="005371CE"/>
    <w:rsid w:val="00537DE5"/>
    <w:rsid w:val="0054102C"/>
    <w:rsid w:val="005424F3"/>
    <w:rsid w:val="00542E03"/>
    <w:rsid w:val="00543E05"/>
    <w:rsid w:val="00544E25"/>
    <w:rsid w:val="00550BFD"/>
    <w:rsid w:val="00551F4A"/>
    <w:rsid w:val="0055211A"/>
    <w:rsid w:val="00552896"/>
    <w:rsid w:val="00553BE0"/>
    <w:rsid w:val="005554E1"/>
    <w:rsid w:val="005568C0"/>
    <w:rsid w:val="00557F0A"/>
    <w:rsid w:val="005603BA"/>
    <w:rsid w:val="005604D0"/>
    <w:rsid w:val="005606EB"/>
    <w:rsid w:val="00563CE9"/>
    <w:rsid w:val="0057104A"/>
    <w:rsid w:val="00571B9B"/>
    <w:rsid w:val="00573976"/>
    <w:rsid w:val="00573C42"/>
    <w:rsid w:val="00575042"/>
    <w:rsid w:val="00577793"/>
    <w:rsid w:val="00580DCB"/>
    <w:rsid w:val="00581BD7"/>
    <w:rsid w:val="00585379"/>
    <w:rsid w:val="0059194E"/>
    <w:rsid w:val="00593113"/>
    <w:rsid w:val="005953DD"/>
    <w:rsid w:val="005A2695"/>
    <w:rsid w:val="005A3A18"/>
    <w:rsid w:val="005A4E33"/>
    <w:rsid w:val="005A6342"/>
    <w:rsid w:val="005A71F7"/>
    <w:rsid w:val="005A72D5"/>
    <w:rsid w:val="005B002A"/>
    <w:rsid w:val="005B06DE"/>
    <w:rsid w:val="005B22C8"/>
    <w:rsid w:val="005B266B"/>
    <w:rsid w:val="005B2807"/>
    <w:rsid w:val="005B31DC"/>
    <w:rsid w:val="005B5C69"/>
    <w:rsid w:val="005C0968"/>
    <w:rsid w:val="005C6EFF"/>
    <w:rsid w:val="005D131E"/>
    <w:rsid w:val="005D36C6"/>
    <w:rsid w:val="005D4B1A"/>
    <w:rsid w:val="005D5318"/>
    <w:rsid w:val="005D53C1"/>
    <w:rsid w:val="005D579D"/>
    <w:rsid w:val="005D63E2"/>
    <w:rsid w:val="005D661C"/>
    <w:rsid w:val="005D6EE3"/>
    <w:rsid w:val="005D7AE6"/>
    <w:rsid w:val="005E007A"/>
    <w:rsid w:val="005E2F09"/>
    <w:rsid w:val="005E3204"/>
    <w:rsid w:val="005E38BE"/>
    <w:rsid w:val="005E4E26"/>
    <w:rsid w:val="005E56F8"/>
    <w:rsid w:val="005E674A"/>
    <w:rsid w:val="005E6B3E"/>
    <w:rsid w:val="005E72B5"/>
    <w:rsid w:val="005F1A67"/>
    <w:rsid w:val="005F2E3B"/>
    <w:rsid w:val="005F3FA2"/>
    <w:rsid w:val="005F4390"/>
    <w:rsid w:val="005F447D"/>
    <w:rsid w:val="005F4506"/>
    <w:rsid w:val="005F54A8"/>
    <w:rsid w:val="005F5979"/>
    <w:rsid w:val="005F6AAF"/>
    <w:rsid w:val="005F6FDE"/>
    <w:rsid w:val="005F7474"/>
    <w:rsid w:val="005F7BA7"/>
    <w:rsid w:val="006000CA"/>
    <w:rsid w:val="00605B7D"/>
    <w:rsid w:val="006074E3"/>
    <w:rsid w:val="0060764F"/>
    <w:rsid w:val="00607AF6"/>
    <w:rsid w:val="00611BE8"/>
    <w:rsid w:val="0061295B"/>
    <w:rsid w:val="00620465"/>
    <w:rsid w:val="00620685"/>
    <w:rsid w:val="006209F4"/>
    <w:rsid w:val="00620EFE"/>
    <w:rsid w:val="006212BF"/>
    <w:rsid w:val="006235B1"/>
    <w:rsid w:val="00623D57"/>
    <w:rsid w:val="006274B0"/>
    <w:rsid w:val="0063086C"/>
    <w:rsid w:val="00635829"/>
    <w:rsid w:val="0064149A"/>
    <w:rsid w:val="00641D6F"/>
    <w:rsid w:val="00643E0B"/>
    <w:rsid w:val="00644E34"/>
    <w:rsid w:val="0064798D"/>
    <w:rsid w:val="00651701"/>
    <w:rsid w:val="00652CD8"/>
    <w:rsid w:val="00653F98"/>
    <w:rsid w:val="00662849"/>
    <w:rsid w:val="00662F7D"/>
    <w:rsid w:val="006637B4"/>
    <w:rsid w:val="006641DC"/>
    <w:rsid w:val="00667B09"/>
    <w:rsid w:val="00667EED"/>
    <w:rsid w:val="00671374"/>
    <w:rsid w:val="00671E67"/>
    <w:rsid w:val="0067216C"/>
    <w:rsid w:val="00672B46"/>
    <w:rsid w:val="00675807"/>
    <w:rsid w:val="006764C6"/>
    <w:rsid w:val="00683A97"/>
    <w:rsid w:val="0068577B"/>
    <w:rsid w:val="00685BA2"/>
    <w:rsid w:val="00687838"/>
    <w:rsid w:val="006902BE"/>
    <w:rsid w:val="006917A2"/>
    <w:rsid w:val="0069341A"/>
    <w:rsid w:val="00694DB4"/>
    <w:rsid w:val="006969DE"/>
    <w:rsid w:val="006971F6"/>
    <w:rsid w:val="0069740E"/>
    <w:rsid w:val="006A0838"/>
    <w:rsid w:val="006A1064"/>
    <w:rsid w:val="006A14DB"/>
    <w:rsid w:val="006A26A2"/>
    <w:rsid w:val="006A425A"/>
    <w:rsid w:val="006A4F53"/>
    <w:rsid w:val="006A740A"/>
    <w:rsid w:val="006B12CA"/>
    <w:rsid w:val="006B14AF"/>
    <w:rsid w:val="006B349A"/>
    <w:rsid w:val="006B34E7"/>
    <w:rsid w:val="006C1A71"/>
    <w:rsid w:val="006C2A04"/>
    <w:rsid w:val="006C30DA"/>
    <w:rsid w:val="006C6D18"/>
    <w:rsid w:val="006C6DBA"/>
    <w:rsid w:val="006D04B6"/>
    <w:rsid w:val="006D0536"/>
    <w:rsid w:val="006D09C2"/>
    <w:rsid w:val="006D1C93"/>
    <w:rsid w:val="006D5C54"/>
    <w:rsid w:val="006E0E61"/>
    <w:rsid w:val="006E13CE"/>
    <w:rsid w:val="006E328A"/>
    <w:rsid w:val="006F0615"/>
    <w:rsid w:val="006F1720"/>
    <w:rsid w:val="006F1E02"/>
    <w:rsid w:val="006F202C"/>
    <w:rsid w:val="006F2D88"/>
    <w:rsid w:val="006F636E"/>
    <w:rsid w:val="006F6CA5"/>
    <w:rsid w:val="006F7E3D"/>
    <w:rsid w:val="007024D4"/>
    <w:rsid w:val="007034BD"/>
    <w:rsid w:val="00711EC5"/>
    <w:rsid w:val="00712938"/>
    <w:rsid w:val="007135BA"/>
    <w:rsid w:val="00714AE6"/>
    <w:rsid w:val="00715F21"/>
    <w:rsid w:val="00716BE2"/>
    <w:rsid w:val="007214E5"/>
    <w:rsid w:val="007228A4"/>
    <w:rsid w:val="00722D16"/>
    <w:rsid w:val="00732886"/>
    <w:rsid w:val="00733FBF"/>
    <w:rsid w:val="00734AB5"/>
    <w:rsid w:val="00742DE4"/>
    <w:rsid w:val="00747EAD"/>
    <w:rsid w:val="00750B1B"/>
    <w:rsid w:val="007551C1"/>
    <w:rsid w:val="007553A6"/>
    <w:rsid w:val="00755E0D"/>
    <w:rsid w:val="007601C5"/>
    <w:rsid w:val="00764490"/>
    <w:rsid w:val="00766229"/>
    <w:rsid w:val="007667C2"/>
    <w:rsid w:val="007675EB"/>
    <w:rsid w:val="00770771"/>
    <w:rsid w:val="00771857"/>
    <w:rsid w:val="00772D7F"/>
    <w:rsid w:val="00772FA7"/>
    <w:rsid w:val="0077513D"/>
    <w:rsid w:val="007827D2"/>
    <w:rsid w:val="00782C61"/>
    <w:rsid w:val="00787194"/>
    <w:rsid w:val="00787B6B"/>
    <w:rsid w:val="00787F06"/>
    <w:rsid w:val="00790C07"/>
    <w:rsid w:val="00790C46"/>
    <w:rsid w:val="00791AA2"/>
    <w:rsid w:val="0079268D"/>
    <w:rsid w:val="00792FEF"/>
    <w:rsid w:val="00793E25"/>
    <w:rsid w:val="00794088"/>
    <w:rsid w:val="00794496"/>
    <w:rsid w:val="007961AD"/>
    <w:rsid w:val="007A1DC6"/>
    <w:rsid w:val="007A2B9C"/>
    <w:rsid w:val="007A3A17"/>
    <w:rsid w:val="007A408C"/>
    <w:rsid w:val="007A43FB"/>
    <w:rsid w:val="007A4612"/>
    <w:rsid w:val="007A47C7"/>
    <w:rsid w:val="007A6A92"/>
    <w:rsid w:val="007B070B"/>
    <w:rsid w:val="007B0F05"/>
    <w:rsid w:val="007B1527"/>
    <w:rsid w:val="007B3BB5"/>
    <w:rsid w:val="007B3F72"/>
    <w:rsid w:val="007B5193"/>
    <w:rsid w:val="007B6B8F"/>
    <w:rsid w:val="007B7235"/>
    <w:rsid w:val="007C26D2"/>
    <w:rsid w:val="007C5334"/>
    <w:rsid w:val="007C5BF5"/>
    <w:rsid w:val="007D2D7E"/>
    <w:rsid w:val="007D3B12"/>
    <w:rsid w:val="007D44F5"/>
    <w:rsid w:val="007D4F66"/>
    <w:rsid w:val="007D5ADC"/>
    <w:rsid w:val="007D5E71"/>
    <w:rsid w:val="007D67E6"/>
    <w:rsid w:val="007D6923"/>
    <w:rsid w:val="007D7288"/>
    <w:rsid w:val="007E0032"/>
    <w:rsid w:val="007E01DC"/>
    <w:rsid w:val="007E0658"/>
    <w:rsid w:val="007E0FAE"/>
    <w:rsid w:val="007E1485"/>
    <w:rsid w:val="007E1AFF"/>
    <w:rsid w:val="007E2713"/>
    <w:rsid w:val="007E6CD7"/>
    <w:rsid w:val="007F1FF5"/>
    <w:rsid w:val="007F2F0D"/>
    <w:rsid w:val="007F4B2F"/>
    <w:rsid w:val="007F4F34"/>
    <w:rsid w:val="007F514A"/>
    <w:rsid w:val="007F59A6"/>
    <w:rsid w:val="007F5E75"/>
    <w:rsid w:val="007F6CF1"/>
    <w:rsid w:val="0080221B"/>
    <w:rsid w:val="00804195"/>
    <w:rsid w:val="00806E98"/>
    <w:rsid w:val="0080791A"/>
    <w:rsid w:val="00807A4E"/>
    <w:rsid w:val="00811AC9"/>
    <w:rsid w:val="0081214F"/>
    <w:rsid w:val="00812DB6"/>
    <w:rsid w:val="00816DA9"/>
    <w:rsid w:val="0082000D"/>
    <w:rsid w:val="00823DD2"/>
    <w:rsid w:val="008248D6"/>
    <w:rsid w:val="00825E0D"/>
    <w:rsid w:val="00830C51"/>
    <w:rsid w:val="00833894"/>
    <w:rsid w:val="00833F4C"/>
    <w:rsid w:val="008342F1"/>
    <w:rsid w:val="00834D23"/>
    <w:rsid w:val="00834F3C"/>
    <w:rsid w:val="00835B12"/>
    <w:rsid w:val="00841EC3"/>
    <w:rsid w:val="00844232"/>
    <w:rsid w:val="0084492A"/>
    <w:rsid w:val="008460D7"/>
    <w:rsid w:val="008470C2"/>
    <w:rsid w:val="00853071"/>
    <w:rsid w:val="00855898"/>
    <w:rsid w:val="0085662F"/>
    <w:rsid w:val="00857ADB"/>
    <w:rsid w:val="00857FD8"/>
    <w:rsid w:val="00861374"/>
    <w:rsid w:val="00863723"/>
    <w:rsid w:val="00863AE1"/>
    <w:rsid w:val="00864C4F"/>
    <w:rsid w:val="008658D2"/>
    <w:rsid w:val="008662EE"/>
    <w:rsid w:val="0086656F"/>
    <w:rsid w:val="00867357"/>
    <w:rsid w:val="00871A42"/>
    <w:rsid w:val="0087301C"/>
    <w:rsid w:val="0087345A"/>
    <w:rsid w:val="00874D86"/>
    <w:rsid w:val="00877C28"/>
    <w:rsid w:val="0088271B"/>
    <w:rsid w:val="00883876"/>
    <w:rsid w:val="00885F2F"/>
    <w:rsid w:val="00886363"/>
    <w:rsid w:val="0088656D"/>
    <w:rsid w:val="00887865"/>
    <w:rsid w:val="00892100"/>
    <w:rsid w:val="00892531"/>
    <w:rsid w:val="00893EED"/>
    <w:rsid w:val="00895BCD"/>
    <w:rsid w:val="00896783"/>
    <w:rsid w:val="00897E52"/>
    <w:rsid w:val="008A0735"/>
    <w:rsid w:val="008A0E2B"/>
    <w:rsid w:val="008A1B13"/>
    <w:rsid w:val="008A1EE2"/>
    <w:rsid w:val="008A7516"/>
    <w:rsid w:val="008B16C4"/>
    <w:rsid w:val="008B41D8"/>
    <w:rsid w:val="008B4455"/>
    <w:rsid w:val="008B5F4E"/>
    <w:rsid w:val="008B6D09"/>
    <w:rsid w:val="008C1CC5"/>
    <w:rsid w:val="008C32B1"/>
    <w:rsid w:val="008C4CC7"/>
    <w:rsid w:val="008C5FAC"/>
    <w:rsid w:val="008D1689"/>
    <w:rsid w:val="008D1D08"/>
    <w:rsid w:val="008D38F9"/>
    <w:rsid w:val="008D4425"/>
    <w:rsid w:val="008D4AAE"/>
    <w:rsid w:val="008D5120"/>
    <w:rsid w:val="008D575D"/>
    <w:rsid w:val="008D6B3E"/>
    <w:rsid w:val="008E2FD0"/>
    <w:rsid w:val="008E4629"/>
    <w:rsid w:val="008E6D71"/>
    <w:rsid w:val="008F1CAD"/>
    <w:rsid w:val="008F1CB4"/>
    <w:rsid w:val="008F22CF"/>
    <w:rsid w:val="008F407E"/>
    <w:rsid w:val="008F4D6A"/>
    <w:rsid w:val="008F715F"/>
    <w:rsid w:val="009026CC"/>
    <w:rsid w:val="00902903"/>
    <w:rsid w:val="00903FE5"/>
    <w:rsid w:val="0091266B"/>
    <w:rsid w:val="0091280F"/>
    <w:rsid w:val="009131E5"/>
    <w:rsid w:val="009135C2"/>
    <w:rsid w:val="00916B32"/>
    <w:rsid w:val="009178AA"/>
    <w:rsid w:val="009229C5"/>
    <w:rsid w:val="00923A5A"/>
    <w:rsid w:val="00923ADD"/>
    <w:rsid w:val="009246AE"/>
    <w:rsid w:val="00924F72"/>
    <w:rsid w:val="009260FE"/>
    <w:rsid w:val="00934C3E"/>
    <w:rsid w:val="009354F4"/>
    <w:rsid w:val="00935EFC"/>
    <w:rsid w:val="009362A6"/>
    <w:rsid w:val="009370A4"/>
    <w:rsid w:val="00940F1F"/>
    <w:rsid w:val="0094329A"/>
    <w:rsid w:val="00944573"/>
    <w:rsid w:val="009479A0"/>
    <w:rsid w:val="009506F0"/>
    <w:rsid w:val="00953E19"/>
    <w:rsid w:val="00953F2F"/>
    <w:rsid w:val="00956D9A"/>
    <w:rsid w:val="0095782F"/>
    <w:rsid w:val="009619F7"/>
    <w:rsid w:val="00967FAB"/>
    <w:rsid w:val="00971390"/>
    <w:rsid w:val="00971BCC"/>
    <w:rsid w:val="009726FC"/>
    <w:rsid w:val="00972F29"/>
    <w:rsid w:val="0097724B"/>
    <w:rsid w:val="00984B1C"/>
    <w:rsid w:val="00985CB6"/>
    <w:rsid w:val="00992871"/>
    <w:rsid w:val="009A0098"/>
    <w:rsid w:val="009A2052"/>
    <w:rsid w:val="009A2730"/>
    <w:rsid w:val="009A2E74"/>
    <w:rsid w:val="009B4A20"/>
    <w:rsid w:val="009C3072"/>
    <w:rsid w:val="009C5A78"/>
    <w:rsid w:val="009C7400"/>
    <w:rsid w:val="009D0BD8"/>
    <w:rsid w:val="009D0DB3"/>
    <w:rsid w:val="009D0FED"/>
    <w:rsid w:val="009D4A61"/>
    <w:rsid w:val="009D505B"/>
    <w:rsid w:val="009E0694"/>
    <w:rsid w:val="009E06D3"/>
    <w:rsid w:val="009E0971"/>
    <w:rsid w:val="009E53F8"/>
    <w:rsid w:val="009E5746"/>
    <w:rsid w:val="009E6952"/>
    <w:rsid w:val="009E6AA3"/>
    <w:rsid w:val="009E75D4"/>
    <w:rsid w:val="009F0657"/>
    <w:rsid w:val="009F2F14"/>
    <w:rsid w:val="00A017D9"/>
    <w:rsid w:val="00A01DA7"/>
    <w:rsid w:val="00A03C90"/>
    <w:rsid w:val="00A052D8"/>
    <w:rsid w:val="00A06F47"/>
    <w:rsid w:val="00A11E5D"/>
    <w:rsid w:val="00A12533"/>
    <w:rsid w:val="00A149B4"/>
    <w:rsid w:val="00A15D24"/>
    <w:rsid w:val="00A17CB6"/>
    <w:rsid w:val="00A2165F"/>
    <w:rsid w:val="00A21F24"/>
    <w:rsid w:val="00A2656A"/>
    <w:rsid w:val="00A269EF"/>
    <w:rsid w:val="00A30733"/>
    <w:rsid w:val="00A30B72"/>
    <w:rsid w:val="00A3161B"/>
    <w:rsid w:val="00A32E2B"/>
    <w:rsid w:val="00A374C5"/>
    <w:rsid w:val="00A37D12"/>
    <w:rsid w:val="00A4138B"/>
    <w:rsid w:val="00A42FB3"/>
    <w:rsid w:val="00A43641"/>
    <w:rsid w:val="00A44730"/>
    <w:rsid w:val="00A46D10"/>
    <w:rsid w:val="00A511BC"/>
    <w:rsid w:val="00A518CF"/>
    <w:rsid w:val="00A52FCB"/>
    <w:rsid w:val="00A5425B"/>
    <w:rsid w:val="00A54B0F"/>
    <w:rsid w:val="00A5596B"/>
    <w:rsid w:val="00A5610A"/>
    <w:rsid w:val="00A62DA1"/>
    <w:rsid w:val="00A64FAB"/>
    <w:rsid w:val="00A7096F"/>
    <w:rsid w:val="00A71C6D"/>
    <w:rsid w:val="00A74F59"/>
    <w:rsid w:val="00A7522F"/>
    <w:rsid w:val="00A758A4"/>
    <w:rsid w:val="00A815AA"/>
    <w:rsid w:val="00A85800"/>
    <w:rsid w:val="00A90849"/>
    <w:rsid w:val="00A91468"/>
    <w:rsid w:val="00A93113"/>
    <w:rsid w:val="00A93C9E"/>
    <w:rsid w:val="00A96727"/>
    <w:rsid w:val="00A978B5"/>
    <w:rsid w:val="00A97C11"/>
    <w:rsid w:val="00AA0031"/>
    <w:rsid w:val="00AA07B4"/>
    <w:rsid w:val="00AA0A66"/>
    <w:rsid w:val="00AA0E53"/>
    <w:rsid w:val="00AA1A8D"/>
    <w:rsid w:val="00AA5098"/>
    <w:rsid w:val="00AA63F9"/>
    <w:rsid w:val="00AB0947"/>
    <w:rsid w:val="00AB513B"/>
    <w:rsid w:val="00AB5BFF"/>
    <w:rsid w:val="00AC06B1"/>
    <w:rsid w:val="00AC3FE7"/>
    <w:rsid w:val="00AC510A"/>
    <w:rsid w:val="00AC587D"/>
    <w:rsid w:val="00AC7C5E"/>
    <w:rsid w:val="00AD01CD"/>
    <w:rsid w:val="00AD11B3"/>
    <w:rsid w:val="00AD36FB"/>
    <w:rsid w:val="00AD3FD1"/>
    <w:rsid w:val="00AD589B"/>
    <w:rsid w:val="00AD6E57"/>
    <w:rsid w:val="00AE3E12"/>
    <w:rsid w:val="00AE7D4A"/>
    <w:rsid w:val="00AF1197"/>
    <w:rsid w:val="00AF1930"/>
    <w:rsid w:val="00AF4670"/>
    <w:rsid w:val="00B010AE"/>
    <w:rsid w:val="00B01CD3"/>
    <w:rsid w:val="00B06774"/>
    <w:rsid w:val="00B075FA"/>
    <w:rsid w:val="00B1008F"/>
    <w:rsid w:val="00B10872"/>
    <w:rsid w:val="00B131C9"/>
    <w:rsid w:val="00B152A8"/>
    <w:rsid w:val="00B154ED"/>
    <w:rsid w:val="00B16344"/>
    <w:rsid w:val="00B208F3"/>
    <w:rsid w:val="00B213B5"/>
    <w:rsid w:val="00B21405"/>
    <w:rsid w:val="00B220D9"/>
    <w:rsid w:val="00B22A30"/>
    <w:rsid w:val="00B24A4D"/>
    <w:rsid w:val="00B25A9D"/>
    <w:rsid w:val="00B27E0C"/>
    <w:rsid w:val="00B30140"/>
    <w:rsid w:val="00B33151"/>
    <w:rsid w:val="00B34924"/>
    <w:rsid w:val="00B34F15"/>
    <w:rsid w:val="00B360D9"/>
    <w:rsid w:val="00B36CF7"/>
    <w:rsid w:val="00B42235"/>
    <w:rsid w:val="00B422F6"/>
    <w:rsid w:val="00B42581"/>
    <w:rsid w:val="00B42F33"/>
    <w:rsid w:val="00B43E24"/>
    <w:rsid w:val="00B44E4E"/>
    <w:rsid w:val="00B45ABF"/>
    <w:rsid w:val="00B46057"/>
    <w:rsid w:val="00B47743"/>
    <w:rsid w:val="00B509A9"/>
    <w:rsid w:val="00B522D0"/>
    <w:rsid w:val="00B53305"/>
    <w:rsid w:val="00B535E6"/>
    <w:rsid w:val="00B54A9C"/>
    <w:rsid w:val="00B60688"/>
    <w:rsid w:val="00B607EC"/>
    <w:rsid w:val="00B62FE1"/>
    <w:rsid w:val="00B631C7"/>
    <w:rsid w:val="00B71D68"/>
    <w:rsid w:val="00B75466"/>
    <w:rsid w:val="00B75DAE"/>
    <w:rsid w:val="00B760D4"/>
    <w:rsid w:val="00B817C6"/>
    <w:rsid w:val="00B86363"/>
    <w:rsid w:val="00B86F91"/>
    <w:rsid w:val="00B92DBC"/>
    <w:rsid w:val="00B94F26"/>
    <w:rsid w:val="00BA19E4"/>
    <w:rsid w:val="00BA2506"/>
    <w:rsid w:val="00BA4396"/>
    <w:rsid w:val="00BA66EC"/>
    <w:rsid w:val="00BA68CA"/>
    <w:rsid w:val="00BB2EA3"/>
    <w:rsid w:val="00BB5ABB"/>
    <w:rsid w:val="00BB5CE6"/>
    <w:rsid w:val="00BC0084"/>
    <w:rsid w:val="00BD297F"/>
    <w:rsid w:val="00BD3482"/>
    <w:rsid w:val="00BD3B35"/>
    <w:rsid w:val="00BD3D1D"/>
    <w:rsid w:val="00BD7177"/>
    <w:rsid w:val="00BE0316"/>
    <w:rsid w:val="00BE1E95"/>
    <w:rsid w:val="00BE3350"/>
    <w:rsid w:val="00BE5267"/>
    <w:rsid w:val="00BE5CF8"/>
    <w:rsid w:val="00BF00F4"/>
    <w:rsid w:val="00BF0ABD"/>
    <w:rsid w:val="00BF1325"/>
    <w:rsid w:val="00BF2361"/>
    <w:rsid w:val="00BF275F"/>
    <w:rsid w:val="00C01803"/>
    <w:rsid w:val="00C04A53"/>
    <w:rsid w:val="00C04DDC"/>
    <w:rsid w:val="00C06E03"/>
    <w:rsid w:val="00C12E5B"/>
    <w:rsid w:val="00C2127E"/>
    <w:rsid w:val="00C25E52"/>
    <w:rsid w:val="00C2755D"/>
    <w:rsid w:val="00C30B6C"/>
    <w:rsid w:val="00C311A3"/>
    <w:rsid w:val="00C323BE"/>
    <w:rsid w:val="00C323DF"/>
    <w:rsid w:val="00C328CE"/>
    <w:rsid w:val="00C33110"/>
    <w:rsid w:val="00C3361F"/>
    <w:rsid w:val="00C33D57"/>
    <w:rsid w:val="00C35FD7"/>
    <w:rsid w:val="00C37227"/>
    <w:rsid w:val="00C40B2A"/>
    <w:rsid w:val="00C417E6"/>
    <w:rsid w:val="00C4325E"/>
    <w:rsid w:val="00C45806"/>
    <w:rsid w:val="00C45E9C"/>
    <w:rsid w:val="00C50E1B"/>
    <w:rsid w:val="00C51A71"/>
    <w:rsid w:val="00C52CFB"/>
    <w:rsid w:val="00C54744"/>
    <w:rsid w:val="00C56E8A"/>
    <w:rsid w:val="00C57D3A"/>
    <w:rsid w:val="00C60FDE"/>
    <w:rsid w:val="00C62172"/>
    <w:rsid w:val="00C64EA6"/>
    <w:rsid w:val="00C66105"/>
    <w:rsid w:val="00C66EA0"/>
    <w:rsid w:val="00C716B7"/>
    <w:rsid w:val="00C71D67"/>
    <w:rsid w:val="00C72DB4"/>
    <w:rsid w:val="00C7497F"/>
    <w:rsid w:val="00C77242"/>
    <w:rsid w:val="00C828B1"/>
    <w:rsid w:val="00C87974"/>
    <w:rsid w:val="00C964DC"/>
    <w:rsid w:val="00C9650E"/>
    <w:rsid w:val="00C97922"/>
    <w:rsid w:val="00CA4445"/>
    <w:rsid w:val="00CA7170"/>
    <w:rsid w:val="00CA791F"/>
    <w:rsid w:val="00CB081B"/>
    <w:rsid w:val="00CB2468"/>
    <w:rsid w:val="00CB3068"/>
    <w:rsid w:val="00CB3BE1"/>
    <w:rsid w:val="00CB3E8C"/>
    <w:rsid w:val="00CB45E2"/>
    <w:rsid w:val="00CB4CE3"/>
    <w:rsid w:val="00CC114A"/>
    <w:rsid w:val="00CC1C6A"/>
    <w:rsid w:val="00CC266C"/>
    <w:rsid w:val="00CC382F"/>
    <w:rsid w:val="00CC6E42"/>
    <w:rsid w:val="00CC7E90"/>
    <w:rsid w:val="00CD038F"/>
    <w:rsid w:val="00CD050F"/>
    <w:rsid w:val="00CD079D"/>
    <w:rsid w:val="00CD1A7D"/>
    <w:rsid w:val="00CD2BAE"/>
    <w:rsid w:val="00CD3A7A"/>
    <w:rsid w:val="00CD55EA"/>
    <w:rsid w:val="00CD5B7B"/>
    <w:rsid w:val="00CD6999"/>
    <w:rsid w:val="00CD72A4"/>
    <w:rsid w:val="00CE696A"/>
    <w:rsid w:val="00CE726D"/>
    <w:rsid w:val="00CF07C9"/>
    <w:rsid w:val="00CF3486"/>
    <w:rsid w:val="00CF3B3A"/>
    <w:rsid w:val="00CF3BCC"/>
    <w:rsid w:val="00CF3D5F"/>
    <w:rsid w:val="00CF57B1"/>
    <w:rsid w:val="00CF59EC"/>
    <w:rsid w:val="00D000F3"/>
    <w:rsid w:val="00D00166"/>
    <w:rsid w:val="00D025AC"/>
    <w:rsid w:val="00D04963"/>
    <w:rsid w:val="00D05254"/>
    <w:rsid w:val="00D10615"/>
    <w:rsid w:val="00D15E48"/>
    <w:rsid w:val="00D1605C"/>
    <w:rsid w:val="00D175A0"/>
    <w:rsid w:val="00D23461"/>
    <w:rsid w:val="00D23A90"/>
    <w:rsid w:val="00D23CCC"/>
    <w:rsid w:val="00D30D5E"/>
    <w:rsid w:val="00D311AD"/>
    <w:rsid w:val="00D339A9"/>
    <w:rsid w:val="00D35636"/>
    <w:rsid w:val="00D35E0D"/>
    <w:rsid w:val="00D37609"/>
    <w:rsid w:val="00D379E8"/>
    <w:rsid w:val="00D37FC9"/>
    <w:rsid w:val="00D449F0"/>
    <w:rsid w:val="00D4540B"/>
    <w:rsid w:val="00D47260"/>
    <w:rsid w:val="00D509BD"/>
    <w:rsid w:val="00D52847"/>
    <w:rsid w:val="00D52A17"/>
    <w:rsid w:val="00D52DE0"/>
    <w:rsid w:val="00D53291"/>
    <w:rsid w:val="00D60BAE"/>
    <w:rsid w:val="00D6131F"/>
    <w:rsid w:val="00D6184D"/>
    <w:rsid w:val="00D63539"/>
    <w:rsid w:val="00D63EAD"/>
    <w:rsid w:val="00D716D1"/>
    <w:rsid w:val="00D719FC"/>
    <w:rsid w:val="00D72CFD"/>
    <w:rsid w:val="00D74291"/>
    <w:rsid w:val="00D80E18"/>
    <w:rsid w:val="00D853BB"/>
    <w:rsid w:val="00D85E56"/>
    <w:rsid w:val="00D9123D"/>
    <w:rsid w:val="00D948A7"/>
    <w:rsid w:val="00DA19B3"/>
    <w:rsid w:val="00DA276F"/>
    <w:rsid w:val="00DA29C5"/>
    <w:rsid w:val="00DA327B"/>
    <w:rsid w:val="00DB0551"/>
    <w:rsid w:val="00DB13FD"/>
    <w:rsid w:val="00DB15BC"/>
    <w:rsid w:val="00DB1DF7"/>
    <w:rsid w:val="00DB5397"/>
    <w:rsid w:val="00DB728A"/>
    <w:rsid w:val="00DC0BC9"/>
    <w:rsid w:val="00DC1BBB"/>
    <w:rsid w:val="00DC7441"/>
    <w:rsid w:val="00DD045C"/>
    <w:rsid w:val="00DD0E67"/>
    <w:rsid w:val="00DD323A"/>
    <w:rsid w:val="00DD44DA"/>
    <w:rsid w:val="00DD4C95"/>
    <w:rsid w:val="00DE15D8"/>
    <w:rsid w:val="00DE1851"/>
    <w:rsid w:val="00DE1E68"/>
    <w:rsid w:val="00DE2250"/>
    <w:rsid w:val="00DE397F"/>
    <w:rsid w:val="00DE3B53"/>
    <w:rsid w:val="00DE702B"/>
    <w:rsid w:val="00DE70BB"/>
    <w:rsid w:val="00DE7B71"/>
    <w:rsid w:val="00DF10E6"/>
    <w:rsid w:val="00DF1ABB"/>
    <w:rsid w:val="00DF7A55"/>
    <w:rsid w:val="00DF7D00"/>
    <w:rsid w:val="00E0045E"/>
    <w:rsid w:val="00E01166"/>
    <w:rsid w:val="00E01DF3"/>
    <w:rsid w:val="00E03B13"/>
    <w:rsid w:val="00E0668D"/>
    <w:rsid w:val="00E10234"/>
    <w:rsid w:val="00E11DBE"/>
    <w:rsid w:val="00E15989"/>
    <w:rsid w:val="00E229EE"/>
    <w:rsid w:val="00E234E5"/>
    <w:rsid w:val="00E256D2"/>
    <w:rsid w:val="00E32248"/>
    <w:rsid w:val="00E32E66"/>
    <w:rsid w:val="00E34F08"/>
    <w:rsid w:val="00E35C09"/>
    <w:rsid w:val="00E35DAA"/>
    <w:rsid w:val="00E373CC"/>
    <w:rsid w:val="00E3789D"/>
    <w:rsid w:val="00E37B44"/>
    <w:rsid w:val="00E41792"/>
    <w:rsid w:val="00E41B51"/>
    <w:rsid w:val="00E453A5"/>
    <w:rsid w:val="00E476C0"/>
    <w:rsid w:val="00E50CE9"/>
    <w:rsid w:val="00E51196"/>
    <w:rsid w:val="00E558B4"/>
    <w:rsid w:val="00E55EF2"/>
    <w:rsid w:val="00E57046"/>
    <w:rsid w:val="00E61A2B"/>
    <w:rsid w:val="00E61CBA"/>
    <w:rsid w:val="00E6218A"/>
    <w:rsid w:val="00E66DB5"/>
    <w:rsid w:val="00E7249D"/>
    <w:rsid w:val="00E7415A"/>
    <w:rsid w:val="00E74444"/>
    <w:rsid w:val="00E74559"/>
    <w:rsid w:val="00E74880"/>
    <w:rsid w:val="00E75A9B"/>
    <w:rsid w:val="00E775C3"/>
    <w:rsid w:val="00E81FD2"/>
    <w:rsid w:val="00E8465A"/>
    <w:rsid w:val="00E87EFE"/>
    <w:rsid w:val="00E96330"/>
    <w:rsid w:val="00EA37F4"/>
    <w:rsid w:val="00EA4E94"/>
    <w:rsid w:val="00EA57CA"/>
    <w:rsid w:val="00EA711D"/>
    <w:rsid w:val="00EB4ABC"/>
    <w:rsid w:val="00EB6B0F"/>
    <w:rsid w:val="00EB73E0"/>
    <w:rsid w:val="00EB7D85"/>
    <w:rsid w:val="00EC2040"/>
    <w:rsid w:val="00EC26B1"/>
    <w:rsid w:val="00EC3ED7"/>
    <w:rsid w:val="00EC723E"/>
    <w:rsid w:val="00EC7247"/>
    <w:rsid w:val="00ED04CC"/>
    <w:rsid w:val="00ED2F37"/>
    <w:rsid w:val="00ED3C92"/>
    <w:rsid w:val="00ED4FEF"/>
    <w:rsid w:val="00ED52E3"/>
    <w:rsid w:val="00ED58FE"/>
    <w:rsid w:val="00ED78D1"/>
    <w:rsid w:val="00ED796D"/>
    <w:rsid w:val="00EE224D"/>
    <w:rsid w:val="00EE26AD"/>
    <w:rsid w:val="00EE2ED6"/>
    <w:rsid w:val="00EE4794"/>
    <w:rsid w:val="00EE72E2"/>
    <w:rsid w:val="00EF25E8"/>
    <w:rsid w:val="00EF2933"/>
    <w:rsid w:val="00EF29FF"/>
    <w:rsid w:val="00EF2B79"/>
    <w:rsid w:val="00EF2CCC"/>
    <w:rsid w:val="00EF380D"/>
    <w:rsid w:val="00EF3901"/>
    <w:rsid w:val="00EF7269"/>
    <w:rsid w:val="00F01544"/>
    <w:rsid w:val="00F020B0"/>
    <w:rsid w:val="00F0357F"/>
    <w:rsid w:val="00F038A1"/>
    <w:rsid w:val="00F04896"/>
    <w:rsid w:val="00F06AC7"/>
    <w:rsid w:val="00F06FB8"/>
    <w:rsid w:val="00F075F6"/>
    <w:rsid w:val="00F11C1D"/>
    <w:rsid w:val="00F12040"/>
    <w:rsid w:val="00F132B3"/>
    <w:rsid w:val="00F17B4D"/>
    <w:rsid w:val="00F2031D"/>
    <w:rsid w:val="00F22289"/>
    <w:rsid w:val="00F22D00"/>
    <w:rsid w:val="00F22D44"/>
    <w:rsid w:val="00F2515E"/>
    <w:rsid w:val="00F3042C"/>
    <w:rsid w:val="00F30EAD"/>
    <w:rsid w:val="00F3191E"/>
    <w:rsid w:val="00F31929"/>
    <w:rsid w:val="00F327B8"/>
    <w:rsid w:val="00F3337F"/>
    <w:rsid w:val="00F34B73"/>
    <w:rsid w:val="00F34BC9"/>
    <w:rsid w:val="00F34ECA"/>
    <w:rsid w:val="00F3530D"/>
    <w:rsid w:val="00F37B90"/>
    <w:rsid w:val="00F41BD8"/>
    <w:rsid w:val="00F44EAE"/>
    <w:rsid w:val="00F46252"/>
    <w:rsid w:val="00F55397"/>
    <w:rsid w:val="00F5542E"/>
    <w:rsid w:val="00F56B98"/>
    <w:rsid w:val="00F578E9"/>
    <w:rsid w:val="00F60C0A"/>
    <w:rsid w:val="00F61561"/>
    <w:rsid w:val="00F62E6B"/>
    <w:rsid w:val="00F645D8"/>
    <w:rsid w:val="00F64CA6"/>
    <w:rsid w:val="00F651A9"/>
    <w:rsid w:val="00F67255"/>
    <w:rsid w:val="00F716AA"/>
    <w:rsid w:val="00F733A9"/>
    <w:rsid w:val="00F80236"/>
    <w:rsid w:val="00F82310"/>
    <w:rsid w:val="00F848A8"/>
    <w:rsid w:val="00F84A67"/>
    <w:rsid w:val="00F85167"/>
    <w:rsid w:val="00F90C48"/>
    <w:rsid w:val="00F90D04"/>
    <w:rsid w:val="00F91174"/>
    <w:rsid w:val="00F9267E"/>
    <w:rsid w:val="00F93AB3"/>
    <w:rsid w:val="00F95485"/>
    <w:rsid w:val="00F95809"/>
    <w:rsid w:val="00FA1EE0"/>
    <w:rsid w:val="00FA3AFC"/>
    <w:rsid w:val="00FA3C2B"/>
    <w:rsid w:val="00FB0FFF"/>
    <w:rsid w:val="00FB218C"/>
    <w:rsid w:val="00FB47D8"/>
    <w:rsid w:val="00FB5737"/>
    <w:rsid w:val="00FB667E"/>
    <w:rsid w:val="00FB6F07"/>
    <w:rsid w:val="00FC04D7"/>
    <w:rsid w:val="00FC0F25"/>
    <w:rsid w:val="00FC3706"/>
    <w:rsid w:val="00FC40B4"/>
    <w:rsid w:val="00FC441B"/>
    <w:rsid w:val="00FC48A3"/>
    <w:rsid w:val="00FC6713"/>
    <w:rsid w:val="00FC690B"/>
    <w:rsid w:val="00FC6CEC"/>
    <w:rsid w:val="00FC7EA9"/>
    <w:rsid w:val="00FD1E6F"/>
    <w:rsid w:val="00FD4DFA"/>
    <w:rsid w:val="00FD5811"/>
    <w:rsid w:val="00FD5D3D"/>
    <w:rsid w:val="00FE13E3"/>
    <w:rsid w:val="00FE2CB0"/>
    <w:rsid w:val="00FE3DC1"/>
    <w:rsid w:val="00FF133F"/>
    <w:rsid w:val="00FF4245"/>
    <w:rsid w:val="00FF45C9"/>
    <w:rsid w:val="00FF465F"/>
    <w:rsid w:val="00FF617A"/>
    <w:rsid w:val="00FF6DB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9F178B"/>
  <w15:docId w15:val="{3A7033A0-AFCA-42A1-B6E4-E0D594192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46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66105"/>
    <w:pPr>
      <w:keepNext/>
      <w:keepLines/>
      <w:spacing w:before="240" w:line="288" w:lineRule="auto"/>
      <w:jc w:val="both"/>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8D1D08"/>
    <w:pPr>
      <w:keepNext/>
      <w:numPr>
        <w:ilvl w:val="1"/>
        <w:numId w:val="1"/>
      </w:numPr>
      <w:spacing w:before="400" w:after="120" w:line="23" w:lineRule="atLeast"/>
      <w:ind w:left="0"/>
      <w:jc w:val="both"/>
      <w:outlineLvl w:val="1"/>
    </w:pPr>
    <w:rPr>
      <w:rFonts w:ascii="Palatino Linotype" w:hAnsi="Palatino Linotype" w:cs="Arial"/>
      <w:b/>
      <w:bCs/>
      <w:iCs/>
      <w:szCs w:val="28"/>
      <w:lang w:eastAsia="sv-SE"/>
    </w:rPr>
  </w:style>
  <w:style w:type="paragraph" w:styleId="Heading3">
    <w:name w:val="heading 3"/>
    <w:basedOn w:val="Heading2"/>
    <w:next w:val="Normal"/>
    <w:link w:val="Heading3Char"/>
    <w:uiPriority w:val="9"/>
    <w:unhideWhenUsed/>
    <w:qFormat/>
    <w:rsid w:val="00694DB4"/>
    <w:pPr>
      <w:outlineLvl w:val="2"/>
    </w:pPr>
    <w:rPr>
      <w:b w:val="0"/>
      <w:i/>
    </w:rPr>
  </w:style>
  <w:style w:type="paragraph" w:styleId="Heading4">
    <w:name w:val="heading 4"/>
    <w:basedOn w:val="Normal"/>
    <w:next w:val="Normal"/>
    <w:link w:val="Heading4Char"/>
    <w:uiPriority w:val="9"/>
    <w:unhideWhenUsed/>
    <w:qFormat/>
    <w:rsid w:val="005A3A1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A3A1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8D1D08"/>
    <w:pPr>
      <w:numPr>
        <w:ilvl w:val="5"/>
        <w:numId w:val="1"/>
      </w:numPr>
      <w:spacing w:before="240" w:after="60" w:line="276" w:lineRule="auto"/>
      <w:jc w:val="both"/>
      <w:outlineLvl w:val="5"/>
    </w:pPr>
    <w:rPr>
      <w:rFonts w:ascii="Palatino Linotype" w:hAnsi="Palatino Linotype"/>
      <w:b/>
      <w:bCs/>
      <w:szCs w:val="25"/>
      <w:lang w:eastAsia="sv-SE"/>
    </w:rPr>
  </w:style>
  <w:style w:type="paragraph" w:styleId="Heading7">
    <w:name w:val="heading 7"/>
    <w:basedOn w:val="Normal"/>
    <w:next w:val="Normal"/>
    <w:link w:val="Heading7Char"/>
    <w:qFormat/>
    <w:rsid w:val="008D1D08"/>
    <w:pPr>
      <w:numPr>
        <w:ilvl w:val="6"/>
        <w:numId w:val="1"/>
      </w:numPr>
      <w:spacing w:before="240" w:after="60" w:line="276" w:lineRule="auto"/>
      <w:jc w:val="both"/>
      <w:outlineLvl w:val="6"/>
    </w:pPr>
    <w:rPr>
      <w:rFonts w:ascii="Palatino Linotype" w:hAnsi="Palatino Linotype"/>
      <w:sz w:val="25"/>
      <w:lang w:eastAsia="sv-SE"/>
    </w:rPr>
  </w:style>
  <w:style w:type="paragraph" w:styleId="Heading8">
    <w:name w:val="heading 8"/>
    <w:basedOn w:val="Normal"/>
    <w:next w:val="Normal"/>
    <w:link w:val="Heading8Char"/>
    <w:qFormat/>
    <w:rsid w:val="008D1D08"/>
    <w:pPr>
      <w:numPr>
        <w:ilvl w:val="7"/>
        <w:numId w:val="1"/>
      </w:numPr>
      <w:spacing w:before="240" w:after="60" w:line="276" w:lineRule="auto"/>
      <w:jc w:val="both"/>
      <w:outlineLvl w:val="7"/>
    </w:pPr>
    <w:rPr>
      <w:rFonts w:ascii="Palatino Linotype" w:hAnsi="Palatino Linotype"/>
      <w:i/>
      <w:iCs/>
      <w:sz w:val="25"/>
      <w:lang w:eastAsia="sv-SE"/>
    </w:rPr>
  </w:style>
  <w:style w:type="paragraph" w:styleId="Heading9">
    <w:name w:val="heading 9"/>
    <w:basedOn w:val="Normal"/>
    <w:next w:val="Normal"/>
    <w:link w:val="Heading9Char"/>
    <w:qFormat/>
    <w:rsid w:val="008D1D08"/>
    <w:pPr>
      <w:numPr>
        <w:ilvl w:val="8"/>
        <w:numId w:val="1"/>
      </w:numPr>
      <w:spacing w:before="240" w:after="60" w:line="276" w:lineRule="auto"/>
      <w:jc w:val="both"/>
      <w:outlineLvl w:val="8"/>
    </w:pPr>
    <w:rPr>
      <w:rFonts w:ascii="Arial" w:hAnsi="Arial" w:cs="Arial"/>
      <w:szCs w:val="25"/>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537DE5"/>
    <w:pPr>
      <w:tabs>
        <w:tab w:val="center" w:pos="4680"/>
        <w:tab w:val="right" w:pos="9360"/>
      </w:tabs>
      <w:jc w:val="both"/>
    </w:pPr>
    <w:rPr>
      <w:rFonts w:ascii="Palatino Linotype" w:eastAsiaTheme="minorEastAsia" w:hAnsi="Palatino Linotype" w:cs="Tahoma"/>
      <w:szCs w:val="22"/>
    </w:rPr>
  </w:style>
  <w:style w:type="character" w:customStyle="1" w:styleId="HeaderChar">
    <w:name w:val="Header Char"/>
    <w:basedOn w:val="DefaultParagraphFont"/>
    <w:link w:val="Header"/>
    <w:uiPriority w:val="99"/>
    <w:rsid w:val="00537DE5"/>
  </w:style>
  <w:style w:type="paragraph" w:styleId="Footer">
    <w:name w:val="footer"/>
    <w:basedOn w:val="Normal"/>
    <w:link w:val="FooterChar"/>
    <w:uiPriority w:val="99"/>
    <w:unhideWhenUsed/>
    <w:qFormat/>
    <w:rsid w:val="00537DE5"/>
    <w:pPr>
      <w:tabs>
        <w:tab w:val="center" w:pos="4680"/>
        <w:tab w:val="right" w:pos="9360"/>
      </w:tabs>
      <w:jc w:val="both"/>
    </w:pPr>
    <w:rPr>
      <w:rFonts w:ascii="Palatino Linotype" w:eastAsiaTheme="minorEastAsia" w:hAnsi="Palatino Linotype" w:cs="Tahoma"/>
      <w:szCs w:val="22"/>
    </w:rPr>
  </w:style>
  <w:style w:type="character" w:customStyle="1" w:styleId="FooterChar">
    <w:name w:val="Footer Char"/>
    <w:basedOn w:val="DefaultParagraphFont"/>
    <w:link w:val="Footer"/>
    <w:uiPriority w:val="99"/>
    <w:rsid w:val="00537DE5"/>
  </w:style>
  <w:style w:type="paragraph" w:styleId="BalloonText">
    <w:name w:val="Balloon Text"/>
    <w:basedOn w:val="Normal"/>
    <w:link w:val="BalloonTextChar"/>
    <w:uiPriority w:val="99"/>
    <w:semiHidden/>
    <w:unhideWhenUsed/>
    <w:rsid w:val="00537DE5"/>
    <w:pPr>
      <w:jc w:val="both"/>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537DE5"/>
    <w:rPr>
      <w:rFonts w:ascii="Tahoma" w:hAnsi="Tahoma" w:cs="Tahoma"/>
      <w:sz w:val="16"/>
      <w:szCs w:val="16"/>
    </w:rPr>
  </w:style>
  <w:style w:type="paragraph" w:styleId="NormalWeb">
    <w:name w:val="Normal (Web)"/>
    <w:basedOn w:val="Normal"/>
    <w:uiPriority w:val="99"/>
    <w:unhideWhenUsed/>
    <w:rsid w:val="00D509BD"/>
    <w:pPr>
      <w:spacing w:before="100" w:beforeAutospacing="1" w:after="100" w:afterAutospacing="1"/>
      <w:jc w:val="both"/>
    </w:pPr>
    <w:rPr>
      <w:rFonts w:eastAsiaTheme="minorEastAsia"/>
      <w:lang w:val="sv-SE" w:eastAsia="sv-SE"/>
    </w:rPr>
  </w:style>
  <w:style w:type="character" w:customStyle="1" w:styleId="gmail-algo-summary">
    <w:name w:val="gmail-algo-summary"/>
    <w:basedOn w:val="DefaultParagraphFont"/>
    <w:rsid w:val="00D509BD"/>
  </w:style>
  <w:style w:type="character" w:styleId="Emphasis">
    <w:name w:val="Emphasis"/>
    <w:uiPriority w:val="20"/>
    <w:qFormat/>
    <w:rsid w:val="00D509BD"/>
    <w:rPr>
      <w:rFonts w:ascii="Palatino Linotype" w:hAnsi="Palatino Linotype" w:cs="Tahoma"/>
    </w:rPr>
  </w:style>
  <w:style w:type="character" w:styleId="SubtleEmphasis">
    <w:name w:val="Subtle Emphasis"/>
    <w:basedOn w:val="DefaultParagraphFont"/>
    <w:uiPriority w:val="19"/>
    <w:qFormat/>
    <w:rsid w:val="00D509BD"/>
    <w:rPr>
      <w:i/>
      <w:iCs/>
      <w:color w:val="808080" w:themeColor="text1" w:themeTint="7F"/>
    </w:rPr>
  </w:style>
  <w:style w:type="character" w:styleId="Strong">
    <w:name w:val="Strong"/>
    <w:basedOn w:val="DefaultParagraphFont"/>
    <w:uiPriority w:val="22"/>
    <w:qFormat/>
    <w:rsid w:val="00D509BD"/>
    <w:rPr>
      <w:b/>
      <w:bCs/>
    </w:rPr>
  </w:style>
  <w:style w:type="paragraph" w:styleId="FootnoteText">
    <w:name w:val="footnote text"/>
    <w:aliases w:val="Fotnotstext Char1,Fotnotstext Char Char,Fotnotstext Char1 Char Char,Fotnotstext Char Char Char Char,Fotnotstext Char1 Char1 Char Char Char,Fotnotstext Char Char Char1 Char Char Char,Fotnotstext Char1 Char1 Char Char Char Char Char"/>
    <w:basedOn w:val="Normal"/>
    <w:link w:val="FootnoteTextChar"/>
    <w:uiPriority w:val="99"/>
    <w:unhideWhenUsed/>
    <w:qFormat/>
    <w:rsid w:val="00D509BD"/>
    <w:pPr>
      <w:jc w:val="both"/>
    </w:pPr>
    <w:rPr>
      <w:rFonts w:ascii="Palatino Linotype" w:eastAsiaTheme="minorEastAsia" w:hAnsi="Palatino Linotype" w:cs="Tahoma"/>
      <w:sz w:val="20"/>
      <w:szCs w:val="20"/>
    </w:rPr>
  </w:style>
  <w:style w:type="character" w:customStyle="1" w:styleId="FootnoteTextChar">
    <w:name w:val="Footnote Text Char"/>
    <w:aliases w:val="Fotnotstext Char1 Char,Fotnotstext Char Char Char,Fotnotstext Char1 Char Char Char,Fotnotstext Char Char Char Char Char,Fotnotstext Char1 Char1 Char Char Char Char,Fotnotstext Char Char Char1 Char Char Char Char"/>
    <w:basedOn w:val="DefaultParagraphFont"/>
    <w:link w:val="FootnoteText"/>
    <w:uiPriority w:val="99"/>
    <w:rsid w:val="00D509BD"/>
    <w:rPr>
      <w:rFonts w:ascii="Palatino Linotype" w:hAnsi="Palatino Linotype" w:cs="Tahoma"/>
      <w:sz w:val="20"/>
      <w:szCs w:val="20"/>
    </w:rPr>
  </w:style>
  <w:style w:type="character" w:styleId="FootnoteReference">
    <w:name w:val="footnote reference"/>
    <w:aliases w:val="ftref,16 Point,Superscript 6 Point,Poli rimando nota,FZ,Referencia nota al pie,Referencia nota al pie1,Referencia nota al pie2,Referencia nota al pie3,Referencia nota al pie4,Referencia nota al pie11,Referencia nota al pie21,fr,o,4_G"/>
    <w:basedOn w:val="DefaultParagraphFont"/>
    <w:uiPriority w:val="99"/>
    <w:unhideWhenUsed/>
    <w:qFormat/>
    <w:rsid w:val="00D509BD"/>
    <w:rPr>
      <w:vertAlign w:val="superscript"/>
    </w:rPr>
  </w:style>
  <w:style w:type="character" w:styleId="Hyperlink">
    <w:name w:val="Hyperlink"/>
    <w:basedOn w:val="DefaultParagraphFont"/>
    <w:uiPriority w:val="99"/>
    <w:unhideWhenUsed/>
    <w:rsid w:val="00066BD0"/>
    <w:rPr>
      <w:color w:val="0000FF" w:themeColor="hyperlink"/>
      <w:u w:val="single"/>
    </w:rPr>
  </w:style>
  <w:style w:type="character" w:customStyle="1" w:styleId="Heading2Char">
    <w:name w:val="Heading 2 Char"/>
    <w:basedOn w:val="DefaultParagraphFont"/>
    <w:link w:val="Heading2"/>
    <w:uiPriority w:val="9"/>
    <w:rsid w:val="008D1D08"/>
    <w:rPr>
      <w:rFonts w:ascii="Palatino Linotype" w:eastAsia="Times New Roman" w:hAnsi="Palatino Linotype" w:cs="Arial"/>
      <w:b/>
      <w:bCs/>
      <w:iCs/>
      <w:sz w:val="24"/>
      <w:szCs w:val="28"/>
      <w:lang w:eastAsia="sv-SE"/>
    </w:rPr>
  </w:style>
  <w:style w:type="character" w:customStyle="1" w:styleId="Heading6Char">
    <w:name w:val="Heading 6 Char"/>
    <w:basedOn w:val="DefaultParagraphFont"/>
    <w:link w:val="Heading6"/>
    <w:rsid w:val="008D1D08"/>
    <w:rPr>
      <w:rFonts w:ascii="Palatino Linotype" w:eastAsia="Times New Roman" w:hAnsi="Palatino Linotype" w:cs="Times New Roman"/>
      <w:b/>
      <w:bCs/>
      <w:szCs w:val="25"/>
      <w:lang w:eastAsia="sv-SE"/>
    </w:rPr>
  </w:style>
  <w:style w:type="character" w:customStyle="1" w:styleId="Heading7Char">
    <w:name w:val="Heading 7 Char"/>
    <w:basedOn w:val="DefaultParagraphFont"/>
    <w:link w:val="Heading7"/>
    <w:rsid w:val="008D1D08"/>
    <w:rPr>
      <w:rFonts w:ascii="Palatino Linotype" w:eastAsia="Times New Roman" w:hAnsi="Palatino Linotype" w:cs="Times New Roman"/>
      <w:sz w:val="25"/>
      <w:szCs w:val="24"/>
      <w:lang w:eastAsia="sv-SE"/>
    </w:rPr>
  </w:style>
  <w:style w:type="character" w:customStyle="1" w:styleId="Heading8Char">
    <w:name w:val="Heading 8 Char"/>
    <w:basedOn w:val="DefaultParagraphFont"/>
    <w:link w:val="Heading8"/>
    <w:rsid w:val="008D1D08"/>
    <w:rPr>
      <w:rFonts w:ascii="Palatino Linotype" w:eastAsia="Times New Roman" w:hAnsi="Palatino Linotype" w:cs="Times New Roman"/>
      <w:i/>
      <w:iCs/>
      <w:sz w:val="25"/>
      <w:szCs w:val="24"/>
      <w:lang w:eastAsia="sv-SE"/>
    </w:rPr>
  </w:style>
  <w:style w:type="character" w:customStyle="1" w:styleId="Heading9Char">
    <w:name w:val="Heading 9 Char"/>
    <w:basedOn w:val="DefaultParagraphFont"/>
    <w:link w:val="Heading9"/>
    <w:rsid w:val="008D1D08"/>
    <w:rPr>
      <w:rFonts w:ascii="Arial" w:eastAsia="Times New Roman" w:hAnsi="Arial" w:cs="Arial"/>
      <w:szCs w:val="25"/>
      <w:lang w:eastAsia="sv-SE"/>
    </w:rPr>
  </w:style>
  <w:style w:type="character" w:customStyle="1" w:styleId="Heading1Char">
    <w:name w:val="Heading 1 Char"/>
    <w:basedOn w:val="DefaultParagraphFont"/>
    <w:link w:val="Heading1"/>
    <w:uiPriority w:val="9"/>
    <w:rsid w:val="00C66105"/>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3B3127"/>
    <w:rPr>
      <w:color w:val="605E5C"/>
      <w:shd w:val="clear" w:color="auto" w:fill="E1DFDD"/>
    </w:rPr>
  </w:style>
  <w:style w:type="paragraph" w:styleId="Revision">
    <w:name w:val="Revision"/>
    <w:hidden/>
    <w:uiPriority w:val="99"/>
    <w:semiHidden/>
    <w:rsid w:val="006A14DB"/>
    <w:pPr>
      <w:spacing w:after="0" w:line="240" w:lineRule="auto"/>
    </w:pPr>
    <w:rPr>
      <w:rFonts w:ascii="Palatino Linotype" w:hAnsi="Palatino Linotype" w:cs="Tahoma"/>
    </w:rPr>
  </w:style>
  <w:style w:type="paragraph" w:styleId="Caption">
    <w:name w:val="caption"/>
    <w:basedOn w:val="Normal"/>
    <w:next w:val="Normal"/>
    <w:uiPriority w:val="35"/>
    <w:unhideWhenUsed/>
    <w:qFormat/>
    <w:rsid w:val="0088656D"/>
    <w:pPr>
      <w:spacing w:after="200"/>
    </w:pPr>
    <w:rPr>
      <w:rFonts w:asciiTheme="minorHAnsi" w:eastAsiaTheme="minorHAnsi" w:hAnsiTheme="minorHAnsi" w:cstheme="minorBidi"/>
      <w:i/>
      <w:iCs/>
      <w:color w:val="1F497D" w:themeColor="text2"/>
      <w:sz w:val="18"/>
      <w:szCs w:val="18"/>
    </w:rPr>
  </w:style>
  <w:style w:type="character" w:customStyle="1" w:styleId="Heading3Char">
    <w:name w:val="Heading 3 Char"/>
    <w:basedOn w:val="DefaultParagraphFont"/>
    <w:link w:val="Heading3"/>
    <w:uiPriority w:val="9"/>
    <w:rsid w:val="00694DB4"/>
    <w:rPr>
      <w:rFonts w:ascii="Palatino Linotype" w:eastAsia="Times New Roman" w:hAnsi="Palatino Linotype" w:cs="Arial"/>
      <w:bCs/>
      <w:i/>
      <w:iCs/>
      <w:sz w:val="24"/>
      <w:szCs w:val="28"/>
      <w:lang w:eastAsia="sv-SE"/>
    </w:rPr>
  </w:style>
  <w:style w:type="paragraph" w:styleId="Quote">
    <w:name w:val="Quote"/>
    <w:basedOn w:val="Normal"/>
    <w:next w:val="Normal"/>
    <w:link w:val="QuoteChar"/>
    <w:uiPriority w:val="29"/>
    <w:qFormat/>
    <w:rsid w:val="002D29B7"/>
    <w:pPr>
      <w:spacing w:line="480" w:lineRule="auto"/>
    </w:pPr>
    <w:rPr>
      <w:rFonts w:asciiTheme="minorHAnsi" w:eastAsiaTheme="minorEastAsia" w:hAnsiTheme="minorHAnsi" w:cstheme="minorBidi"/>
      <w:i/>
      <w:iCs/>
      <w:color w:val="000000" w:themeColor="text1"/>
    </w:rPr>
  </w:style>
  <w:style w:type="character" w:customStyle="1" w:styleId="QuoteChar">
    <w:name w:val="Quote Char"/>
    <w:basedOn w:val="DefaultParagraphFont"/>
    <w:link w:val="Quote"/>
    <w:uiPriority w:val="29"/>
    <w:rsid w:val="002D29B7"/>
    <w:rPr>
      <w:i/>
      <w:iCs/>
      <w:color w:val="000000" w:themeColor="text1"/>
      <w:sz w:val="24"/>
      <w:szCs w:val="24"/>
    </w:rPr>
  </w:style>
  <w:style w:type="character" w:styleId="FollowedHyperlink">
    <w:name w:val="FollowedHyperlink"/>
    <w:basedOn w:val="DefaultParagraphFont"/>
    <w:uiPriority w:val="99"/>
    <w:semiHidden/>
    <w:unhideWhenUsed/>
    <w:rsid w:val="001B3AE2"/>
    <w:rPr>
      <w:color w:val="800080" w:themeColor="followedHyperlink"/>
      <w:u w:val="single"/>
    </w:rPr>
  </w:style>
  <w:style w:type="character" w:customStyle="1" w:styleId="Heading4Char">
    <w:name w:val="Heading 4 Char"/>
    <w:basedOn w:val="DefaultParagraphFont"/>
    <w:link w:val="Heading4"/>
    <w:uiPriority w:val="9"/>
    <w:rsid w:val="005A3A18"/>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5A3A18"/>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5A3A18"/>
    <w:pPr>
      <w:spacing w:before="100" w:beforeAutospacing="1" w:after="100" w:afterAutospacing="1"/>
    </w:pPr>
  </w:style>
  <w:style w:type="character" w:customStyle="1" w:styleId="author1">
    <w:name w:val="author1"/>
    <w:basedOn w:val="DefaultParagraphFont"/>
    <w:uiPriority w:val="99"/>
    <w:rsid w:val="005A3A18"/>
    <w:rPr>
      <w:rFonts w:cs="Times New Roman"/>
      <w:b/>
      <w:bCs/>
      <w:color w:val="auto"/>
      <w:sz w:val="19"/>
      <w:szCs w:val="19"/>
    </w:rPr>
  </w:style>
  <w:style w:type="paragraph" w:styleId="BodyTextIndent2">
    <w:name w:val="Body Text Indent 2"/>
    <w:basedOn w:val="Normal"/>
    <w:link w:val="BodyTextIndent2Char"/>
    <w:uiPriority w:val="99"/>
    <w:rsid w:val="005A3A18"/>
    <w:pPr>
      <w:overflowPunct w:val="0"/>
      <w:autoSpaceDE w:val="0"/>
      <w:autoSpaceDN w:val="0"/>
      <w:adjustRightInd w:val="0"/>
      <w:ind w:firstLine="720"/>
      <w:textAlignment w:val="baseline"/>
    </w:pPr>
    <w:rPr>
      <w:rFonts w:ascii="GeoDumba" w:hAnsi="GeoDumba"/>
      <w:b/>
      <w:sz w:val="28"/>
      <w:szCs w:val="20"/>
    </w:rPr>
  </w:style>
  <w:style w:type="character" w:customStyle="1" w:styleId="BodyTextIndent2Char">
    <w:name w:val="Body Text Indent 2 Char"/>
    <w:basedOn w:val="DefaultParagraphFont"/>
    <w:link w:val="BodyTextIndent2"/>
    <w:uiPriority w:val="99"/>
    <w:rsid w:val="005A3A18"/>
    <w:rPr>
      <w:rFonts w:ascii="GeoDumba" w:eastAsia="Times New Roman" w:hAnsi="GeoDumba" w:cs="Times New Roman"/>
      <w:b/>
      <w:sz w:val="28"/>
      <w:szCs w:val="20"/>
    </w:rPr>
  </w:style>
  <w:style w:type="character" w:customStyle="1" w:styleId="officialsname">
    <w:name w:val="official_s_name"/>
    <w:basedOn w:val="DefaultParagraphFont"/>
    <w:rsid w:val="005A3A18"/>
  </w:style>
  <w:style w:type="character" w:customStyle="1" w:styleId="officialstitle-">
    <w:name w:val="official_s_title-"/>
    <w:basedOn w:val="DefaultParagraphFont"/>
    <w:rsid w:val="005A3A18"/>
  </w:style>
  <w:style w:type="character" w:customStyle="1" w:styleId="officialsbureau">
    <w:name w:val="official_s_bureau"/>
    <w:basedOn w:val="DefaultParagraphFont"/>
    <w:rsid w:val="005A3A18"/>
  </w:style>
  <w:style w:type="character" w:customStyle="1" w:styleId="location-">
    <w:name w:val="location-"/>
    <w:basedOn w:val="DefaultParagraphFont"/>
    <w:rsid w:val="005A3A18"/>
  </w:style>
  <w:style w:type="character" w:customStyle="1" w:styleId="ata11y">
    <w:name w:val="at_a11y"/>
    <w:basedOn w:val="DefaultParagraphFont"/>
    <w:rsid w:val="005A3A18"/>
  </w:style>
  <w:style w:type="paragraph" w:styleId="NoSpacing">
    <w:name w:val="No Spacing"/>
    <w:link w:val="NoSpacingChar"/>
    <w:uiPriority w:val="1"/>
    <w:qFormat/>
    <w:rsid w:val="005A3A18"/>
    <w:pPr>
      <w:spacing w:after="0" w:line="240" w:lineRule="auto"/>
    </w:pPr>
    <w:rPr>
      <w:rFonts w:asciiTheme="majorBidi" w:hAnsiTheme="majorBidi"/>
    </w:rPr>
  </w:style>
  <w:style w:type="character" w:customStyle="1" w:styleId="itemcategory">
    <w:name w:val="itemcategory"/>
    <w:basedOn w:val="DefaultParagraphFont"/>
    <w:rsid w:val="005A3A18"/>
  </w:style>
  <w:style w:type="character" w:customStyle="1" w:styleId="apple-converted-space">
    <w:name w:val="apple-converted-space"/>
    <w:basedOn w:val="DefaultParagraphFont"/>
    <w:rsid w:val="005A3A18"/>
  </w:style>
  <w:style w:type="character" w:customStyle="1" w:styleId="itemtextresizertitle">
    <w:name w:val="itemtextresizertitle"/>
    <w:basedOn w:val="DefaultParagraphFont"/>
    <w:rsid w:val="005A3A18"/>
  </w:style>
  <w:style w:type="paragraph" w:styleId="HTMLPreformatted">
    <w:name w:val="HTML Preformatted"/>
    <w:basedOn w:val="Normal"/>
    <w:link w:val="HTMLPreformattedChar"/>
    <w:uiPriority w:val="99"/>
    <w:semiHidden/>
    <w:unhideWhenUsed/>
    <w:rsid w:val="005A3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A3A18"/>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5A3A18"/>
    <w:rPr>
      <w:rFonts w:ascii="Courier New" w:eastAsia="Times New Roman" w:hAnsi="Courier New" w:cs="Courier New"/>
      <w:sz w:val="20"/>
      <w:szCs w:val="20"/>
    </w:rPr>
  </w:style>
  <w:style w:type="character" w:customStyle="1" w:styleId="apple-tab-span">
    <w:name w:val="apple-tab-span"/>
    <w:basedOn w:val="DefaultParagraphFont"/>
    <w:rsid w:val="005A3A18"/>
  </w:style>
  <w:style w:type="character" w:customStyle="1" w:styleId="printonly">
    <w:name w:val="printonly"/>
    <w:basedOn w:val="DefaultParagraphFont"/>
    <w:uiPriority w:val="99"/>
    <w:rsid w:val="005A3A18"/>
    <w:rPr>
      <w:rFonts w:cs="Times New Roman"/>
    </w:rPr>
  </w:style>
  <w:style w:type="character" w:customStyle="1" w:styleId="EndnoteReference1">
    <w:name w:val="Endnote Reference1"/>
    <w:uiPriority w:val="99"/>
    <w:rsid w:val="005A3A18"/>
    <w:rPr>
      <w:color w:val="000000"/>
      <w:sz w:val="22"/>
      <w:vertAlign w:val="superscript"/>
    </w:rPr>
  </w:style>
  <w:style w:type="character" w:customStyle="1" w:styleId="Hyperlink1">
    <w:name w:val="Hyperlink1"/>
    <w:rsid w:val="005A3A18"/>
    <w:rPr>
      <w:color w:val="0000FF"/>
      <w:sz w:val="22"/>
      <w:u w:val="single"/>
    </w:rPr>
  </w:style>
  <w:style w:type="character" w:customStyle="1" w:styleId="citation">
    <w:name w:val="citation"/>
    <w:uiPriority w:val="99"/>
    <w:rsid w:val="005A3A18"/>
    <w:rPr>
      <w:color w:val="000000"/>
      <w:sz w:val="22"/>
    </w:rPr>
  </w:style>
  <w:style w:type="paragraph" w:customStyle="1" w:styleId="footnote">
    <w:name w:val="footnote"/>
    <w:basedOn w:val="FootnoteText"/>
    <w:link w:val="footnoteChar"/>
    <w:qFormat/>
    <w:rsid w:val="005A3A18"/>
    <w:rPr>
      <w:rFonts w:ascii="High Tower Text" w:eastAsia="Times New Roman" w:hAnsi="High Tower Text" w:cs="Times New Roman"/>
      <w:sz w:val="24"/>
      <w:szCs w:val="24"/>
      <w:lang w:val="en-GB"/>
    </w:rPr>
  </w:style>
  <w:style w:type="character" w:customStyle="1" w:styleId="footnoteChar">
    <w:name w:val="footnote Char"/>
    <w:basedOn w:val="DefaultParagraphFont"/>
    <w:link w:val="footnote"/>
    <w:rsid w:val="005A3A18"/>
    <w:rPr>
      <w:rFonts w:ascii="High Tower Text" w:eastAsia="Times New Roman" w:hAnsi="High Tower Text" w:cs="Times New Roman"/>
      <w:sz w:val="24"/>
      <w:szCs w:val="24"/>
      <w:lang w:val="en-GB"/>
    </w:rPr>
  </w:style>
  <w:style w:type="paragraph" w:customStyle="1" w:styleId="Blockquote">
    <w:name w:val="Block quote"/>
    <w:basedOn w:val="Normal"/>
    <w:link w:val="BlockquoteChar"/>
    <w:qFormat/>
    <w:rsid w:val="005A3A18"/>
    <w:pPr>
      <w:spacing w:before="360" w:after="360" w:line="300" w:lineRule="auto"/>
      <w:ind w:left="600"/>
      <w:jc w:val="both"/>
    </w:pPr>
    <w:rPr>
      <w:rFonts w:ascii="High Tower Text" w:hAnsi="High Tower Text"/>
      <w:sz w:val="25"/>
      <w:szCs w:val="25"/>
    </w:rPr>
  </w:style>
  <w:style w:type="character" w:customStyle="1" w:styleId="BlockquoteChar">
    <w:name w:val="Block quote Char"/>
    <w:basedOn w:val="DefaultParagraphFont"/>
    <w:link w:val="Blockquote"/>
    <w:rsid w:val="005A3A18"/>
    <w:rPr>
      <w:rFonts w:ascii="High Tower Text" w:eastAsia="Times New Roman" w:hAnsi="High Tower Text" w:cs="Times New Roman"/>
      <w:sz w:val="25"/>
      <w:szCs w:val="25"/>
    </w:rPr>
  </w:style>
  <w:style w:type="paragraph" w:customStyle="1" w:styleId="metadatabyline">
    <w:name w:val="metadata__byline"/>
    <w:basedOn w:val="Normal"/>
    <w:rsid w:val="005A3A18"/>
    <w:pPr>
      <w:spacing w:before="100" w:beforeAutospacing="1" w:after="100" w:afterAutospacing="1"/>
    </w:pPr>
    <w:rPr>
      <w:rFonts w:ascii="Times" w:eastAsia="Calibri" w:hAnsi="Times"/>
      <w:sz w:val="20"/>
      <w:szCs w:val="20"/>
    </w:rPr>
  </w:style>
  <w:style w:type="character" w:customStyle="1" w:styleId="metadatabylineauthor">
    <w:name w:val="metadata__byline__author"/>
    <w:basedOn w:val="DefaultParagraphFont"/>
    <w:rsid w:val="005A3A18"/>
  </w:style>
  <w:style w:type="paragraph" w:styleId="EndnoteText">
    <w:name w:val="endnote text"/>
    <w:basedOn w:val="Normal"/>
    <w:link w:val="EndnoteTextChar"/>
    <w:uiPriority w:val="99"/>
    <w:unhideWhenUsed/>
    <w:rsid w:val="005A3A18"/>
    <w:rPr>
      <w:rFonts w:ascii="Calibri" w:eastAsia="Calibri" w:hAnsi="Calibri"/>
    </w:rPr>
  </w:style>
  <w:style w:type="character" w:customStyle="1" w:styleId="EndnoteTextChar">
    <w:name w:val="Endnote Text Char"/>
    <w:basedOn w:val="DefaultParagraphFont"/>
    <w:link w:val="EndnoteText"/>
    <w:uiPriority w:val="99"/>
    <w:rsid w:val="005A3A18"/>
    <w:rPr>
      <w:rFonts w:ascii="Calibri" w:eastAsia="Calibri" w:hAnsi="Calibri" w:cs="Times New Roman"/>
      <w:sz w:val="24"/>
      <w:szCs w:val="24"/>
    </w:rPr>
  </w:style>
  <w:style w:type="character" w:styleId="EndnoteReference">
    <w:name w:val="endnote reference"/>
    <w:basedOn w:val="DefaultParagraphFont"/>
    <w:uiPriority w:val="99"/>
    <w:unhideWhenUsed/>
    <w:rsid w:val="005A3A18"/>
    <w:rPr>
      <w:vertAlign w:val="superscript"/>
    </w:rPr>
  </w:style>
  <w:style w:type="character" w:styleId="CommentReference">
    <w:name w:val="annotation reference"/>
    <w:basedOn w:val="DefaultParagraphFont"/>
    <w:uiPriority w:val="99"/>
    <w:semiHidden/>
    <w:unhideWhenUsed/>
    <w:rsid w:val="005A3A18"/>
    <w:rPr>
      <w:sz w:val="16"/>
      <w:szCs w:val="16"/>
    </w:rPr>
  </w:style>
  <w:style w:type="paragraph" w:styleId="CommentText">
    <w:name w:val="annotation text"/>
    <w:basedOn w:val="Normal"/>
    <w:link w:val="CommentTextChar"/>
    <w:uiPriority w:val="99"/>
    <w:unhideWhenUsed/>
    <w:rsid w:val="005A3A18"/>
    <w:rPr>
      <w:sz w:val="20"/>
      <w:szCs w:val="20"/>
    </w:rPr>
  </w:style>
  <w:style w:type="character" w:customStyle="1" w:styleId="CommentTextChar">
    <w:name w:val="Comment Text Char"/>
    <w:basedOn w:val="DefaultParagraphFont"/>
    <w:link w:val="CommentText"/>
    <w:uiPriority w:val="99"/>
    <w:rsid w:val="005A3A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3A18"/>
    <w:rPr>
      <w:b/>
      <w:bCs/>
    </w:rPr>
  </w:style>
  <w:style w:type="character" w:customStyle="1" w:styleId="CommentSubjectChar">
    <w:name w:val="Comment Subject Char"/>
    <w:basedOn w:val="CommentTextChar"/>
    <w:link w:val="CommentSubject"/>
    <w:uiPriority w:val="99"/>
    <w:semiHidden/>
    <w:rsid w:val="005A3A18"/>
    <w:rPr>
      <w:rFonts w:ascii="Times New Roman" w:eastAsia="Times New Roman" w:hAnsi="Times New Roman" w:cs="Times New Roman"/>
      <w:b/>
      <w:bCs/>
      <w:sz w:val="20"/>
      <w:szCs w:val="20"/>
    </w:rPr>
  </w:style>
  <w:style w:type="paragraph" w:customStyle="1" w:styleId="yiv3090547366msonormal">
    <w:name w:val="yiv3090547366msonormal"/>
    <w:basedOn w:val="Normal"/>
    <w:rsid w:val="005A3A18"/>
    <w:pPr>
      <w:spacing w:before="100" w:beforeAutospacing="1" w:after="100" w:afterAutospacing="1"/>
    </w:pPr>
  </w:style>
  <w:style w:type="character" w:customStyle="1" w:styleId="UnresolvedMention10">
    <w:name w:val="Unresolved Mention1"/>
    <w:basedOn w:val="DefaultParagraphFont"/>
    <w:uiPriority w:val="99"/>
    <w:rsid w:val="005A3A18"/>
    <w:rPr>
      <w:color w:val="605E5C"/>
      <w:shd w:val="clear" w:color="auto" w:fill="E1DFDD"/>
    </w:rPr>
  </w:style>
  <w:style w:type="paragraph" w:customStyle="1" w:styleId="yiv5429100725msonormal">
    <w:name w:val="yiv5429100725msonormal"/>
    <w:basedOn w:val="Normal"/>
    <w:uiPriority w:val="99"/>
    <w:rsid w:val="005A3A18"/>
    <w:pPr>
      <w:spacing w:before="100" w:beforeAutospacing="1" w:after="100" w:afterAutospacing="1"/>
    </w:pPr>
  </w:style>
  <w:style w:type="paragraph" w:customStyle="1" w:styleId="yiv5429100725msolistparagraph">
    <w:name w:val="yiv5429100725msolistparagraph"/>
    <w:basedOn w:val="Normal"/>
    <w:rsid w:val="005A3A18"/>
    <w:pPr>
      <w:spacing w:before="100" w:beforeAutospacing="1" w:after="100" w:afterAutospacing="1"/>
    </w:pPr>
  </w:style>
  <w:style w:type="paragraph" w:styleId="Subtitle">
    <w:name w:val="Subtitle"/>
    <w:basedOn w:val="Heading1"/>
    <w:next w:val="Normal"/>
    <w:link w:val="SubtitleChar"/>
    <w:uiPriority w:val="11"/>
    <w:qFormat/>
    <w:rsid w:val="005A3A18"/>
    <w:pPr>
      <w:numPr>
        <w:ilvl w:val="1"/>
      </w:numPr>
      <w:autoSpaceDE w:val="0"/>
      <w:autoSpaceDN w:val="0"/>
      <w:adjustRightInd w:val="0"/>
      <w:spacing w:after="240"/>
      <w:jc w:val="left"/>
      <w:textAlignment w:val="center"/>
    </w:pPr>
    <w:rPr>
      <w:rFonts w:ascii="IBM Plex Sans" w:hAnsi="IBM Plex Sans" w:cstheme="minorBidi"/>
      <w:b/>
      <w:color w:val="000000" w:themeColor="text1"/>
      <w:sz w:val="24"/>
      <w:szCs w:val="22"/>
      <w:lang w:eastAsia="zh-CN"/>
    </w:rPr>
  </w:style>
  <w:style w:type="character" w:customStyle="1" w:styleId="SubtitleChar">
    <w:name w:val="Subtitle Char"/>
    <w:basedOn w:val="DefaultParagraphFont"/>
    <w:link w:val="Subtitle"/>
    <w:uiPriority w:val="11"/>
    <w:rsid w:val="005A3A18"/>
    <w:rPr>
      <w:rFonts w:ascii="IBM Plex Sans" w:eastAsiaTheme="majorEastAsia" w:hAnsi="IBM Plex Sans"/>
      <w:b/>
      <w:color w:val="000000" w:themeColor="text1"/>
      <w:sz w:val="24"/>
      <w:lang w:eastAsia="zh-CN"/>
    </w:rPr>
  </w:style>
  <w:style w:type="character" w:styleId="PageNumber">
    <w:name w:val="page number"/>
    <w:basedOn w:val="DefaultParagraphFont"/>
    <w:uiPriority w:val="99"/>
    <w:semiHidden/>
    <w:unhideWhenUsed/>
    <w:rsid w:val="005A3A18"/>
  </w:style>
  <w:style w:type="paragraph" w:customStyle="1" w:styleId="yiv8630288182analyst-name">
    <w:name w:val="yiv8630288182analyst-name"/>
    <w:basedOn w:val="Normal"/>
    <w:rsid w:val="005A3A18"/>
    <w:pPr>
      <w:spacing w:before="100" w:beforeAutospacing="1" w:after="100" w:afterAutospacing="1"/>
    </w:pPr>
  </w:style>
  <w:style w:type="paragraph" w:customStyle="1" w:styleId="yiv8630288182analyst-job">
    <w:name w:val="yiv8630288182analyst-job"/>
    <w:basedOn w:val="Normal"/>
    <w:rsid w:val="005A3A18"/>
    <w:pPr>
      <w:spacing w:before="100" w:beforeAutospacing="1" w:after="100" w:afterAutospacing="1"/>
    </w:pPr>
  </w:style>
  <w:style w:type="paragraph" w:customStyle="1" w:styleId="yiv8630288182analyst-phone">
    <w:name w:val="yiv8630288182analyst-phone"/>
    <w:basedOn w:val="Normal"/>
    <w:rsid w:val="005A3A18"/>
    <w:pPr>
      <w:spacing w:before="100" w:beforeAutospacing="1" w:after="100" w:afterAutospacing="1"/>
    </w:pPr>
  </w:style>
  <w:style w:type="paragraph" w:customStyle="1" w:styleId="yiv8630288182analyst-email">
    <w:name w:val="yiv8630288182analyst-email"/>
    <w:basedOn w:val="Normal"/>
    <w:rsid w:val="005A3A18"/>
    <w:pPr>
      <w:spacing w:before="100" w:beforeAutospacing="1" w:after="100" w:afterAutospacing="1"/>
    </w:pPr>
  </w:style>
  <w:style w:type="paragraph" w:customStyle="1" w:styleId="BasicParagraph">
    <w:name w:val="[Basic Paragraph]"/>
    <w:basedOn w:val="Normal"/>
    <w:uiPriority w:val="99"/>
    <w:qFormat/>
    <w:rsid w:val="00794496"/>
    <w:rPr>
      <w:rFonts w:asciiTheme="minorHAnsi" w:hAnsiTheme="minorHAnsi" w:cs="Minion Pro"/>
      <w:color w:val="000000" w:themeColor="text1"/>
    </w:rPr>
  </w:style>
  <w:style w:type="paragraph" w:styleId="Title">
    <w:name w:val="Title"/>
    <w:basedOn w:val="Heading3"/>
    <w:next w:val="Subtitle"/>
    <w:link w:val="TitleChar"/>
    <w:uiPriority w:val="10"/>
    <w:qFormat/>
    <w:rsid w:val="00794496"/>
    <w:pPr>
      <w:keepLines/>
      <w:numPr>
        <w:ilvl w:val="0"/>
        <w:numId w:val="0"/>
      </w:numPr>
      <w:pBdr>
        <w:bottom w:val="single" w:sz="4" w:space="3" w:color="000000" w:themeColor="text1"/>
      </w:pBdr>
      <w:spacing w:before="240" w:after="480" w:line="360" w:lineRule="auto"/>
      <w:jc w:val="left"/>
    </w:pPr>
    <w:rPr>
      <w:rFonts w:asciiTheme="majorHAnsi" w:eastAsiaTheme="majorEastAsia" w:hAnsiTheme="majorHAnsi" w:cstheme="majorBidi"/>
      <w:b/>
      <w:bCs w:val="0"/>
      <w:i w:val="0"/>
      <w:iCs w:val="0"/>
      <w:color w:val="000000" w:themeColor="text1"/>
      <w:spacing w:val="-10"/>
      <w:kern w:val="28"/>
      <w:sz w:val="32"/>
      <w:szCs w:val="56"/>
      <w:lang w:eastAsia="en-US"/>
    </w:rPr>
  </w:style>
  <w:style w:type="character" w:customStyle="1" w:styleId="TitleChar">
    <w:name w:val="Title Char"/>
    <w:basedOn w:val="DefaultParagraphFont"/>
    <w:link w:val="Title"/>
    <w:uiPriority w:val="10"/>
    <w:rsid w:val="00794496"/>
    <w:rPr>
      <w:rFonts w:asciiTheme="majorHAnsi" w:eastAsiaTheme="majorEastAsia" w:hAnsiTheme="majorHAnsi" w:cstheme="majorBidi"/>
      <w:b/>
      <w:color w:val="000000" w:themeColor="text1"/>
      <w:spacing w:val="-10"/>
      <w:kern w:val="28"/>
      <w:sz w:val="32"/>
      <w:szCs w:val="56"/>
    </w:rPr>
  </w:style>
  <w:style w:type="character" w:customStyle="1" w:styleId="NoSpacingChar">
    <w:name w:val="No Spacing Char"/>
    <w:basedOn w:val="DefaultParagraphFont"/>
    <w:link w:val="NoSpacing"/>
    <w:uiPriority w:val="1"/>
    <w:rsid w:val="00794496"/>
    <w:rPr>
      <w:rFonts w:asciiTheme="majorBidi" w:hAnsiTheme="majorBidi"/>
    </w:rPr>
  </w:style>
  <w:style w:type="table" w:styleId="TableGrid">
    <w:name w:val="Table Grid"/>
    <w:basedOn w:val="TableNormal"/>
    <w:uiPriority w:val="39"/>
    <w:rsid w:val="00794496"/>
    <w:pPr>
      <w:spacing w:after="0" w:line="240" w:lineRule="auto"/>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94496"/>
    <w:pPr>
      <w:spacing w:after="0" w:line="240" w:lineRule="auto"/>
    </w:pPr>
    <w:rPr>
      <w:lang w:val="en-GB"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6Colorful-Accent3">
    <w:name w:val="List Table 6 Colorful Accent 3"/>
    <w:basedOn w:val="TableNormal"/>
    <w:uiPriority w:val="51"/>
    <w:rsid w:val="00794496"/>
    <w:pPr>
      <w:spacing w:after="0" w:line="240" w:lineRule="auto"/>
    </w:pPr>
    <w:rPr>
      <w:color w:val="76923C" w:themeColor="accent3" w:themeShade="BF"/>
      <w:lang w:val="en-GB" w:eastAsia="zh-CN"/>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MEIREPORTTABLESTYLE">
    <w:name w:val="MEI REPORT TABLE STYLE"/>
    <w:basedOn w:val="TableNormal"/>
    <w:uiPriority w:val="99"/>
    <w:rsid w:val="00794496"/>
    <w:pPr>
      <w:spacing w:after="0" w:line="240" w:lineRule="auto"/>
    </w:pPr>
    <w:rPr>
      <w:rFonts w:ascii="IBM Plex Sans" w:hAnsi="IBM Plex Sans"/>
      <w:color w:val="000000" w:themeColor="text1"/>
      <w:sz w:val="18"/>
      <w:lang w:val="en-GB" w:eastAsia="zh-CN"/>
    </w:rPr>
    <w:tblPr>
      <w:tblBorders>
        <w:bottom w:val="single" w:sz="12" w:space="0" w:color="000000" w:themeColor="text1"/>
      </w:tblBorders>
    </w:tblPr>
    <w:tcPr>
      <w:vAlign w:val="center"/>
    </w:tcPr>
    <w:tblStylePr w:type="firstRow">
      <w:rPr>
        <w:rFonts w:asciiTheme="majorHAnsi" w:hAnsiTheme="majorHAnsi"/>
        <w:b/>
        <w:color w:val="000000" w:themeColor="text1"/>
        <w:sz w:val="18"/>
      </w:rPr>
      <w:tblPr/>
      <w:tcPr>
        <w:tcBorders>
          <w:top w:val="nil"/>
          <w:left w:val="nil"/>
          <w:bottom w:val="single" w:sz="12" w:space="0" w:color="000000" w:themeColor="text1"/>
          <w:right w:val="nil"/>
          <w:insideH w:val="nil"/>
          <w:insideV w:val="nil"/>
          <w:tl2br w:val="nil"/>
          <w:tr2bl w:val="nil"/>
        </w:tcBorders>
      </w:tcPr>
    </w:tblStylePr>
    <w:tblStylePr w:type="lastRow">
      <w:rPr>
        <w:rFonts w:ascii="Lucida Grande" w:eastAsiaTheme="majorEastAsia" w:hAnsi="Lucida Grande"/>
        <w:b/>
        <w:i w:val="0"/>
        <w:color w:val="000000" w:themeColor="text1"/>
        <w:sz w:val="18"/>
      </w:rPr>
      <w:tblPr/>
      <w:tcPr>
        <w:tcBorders>
          <w:top w:val="single" w:sz="12" w:space="0" w:color="000000" w:themeColor="text1"/>
          <w:left w:val="nil"/>
          <w:bottom w:val="single" w:sz="12" w:space="0" w:color="000000" w:themeColor="text1"/>
          <w:right w:val="nil"/>
          <w:insideH w:val="nil"/>
          <w:insideV w:val="nil"/>
          <w:tl2br w:val="nil"/>
          <w:tr2bl w:val="nil"/>
        </w:tcBorders>
      </w:tcPr>
    </w:tblStylePr>
  </w:style>
  <w:style w:type="paragraph" w:customStyle="1" w:styleId="Bodycopy-big">
    <w:name w:val="Body copy - big"/>
    <w:basedOn w:val="Normal"/>
    <w:link w:val="Bodycopy-bigChar"/>
    <w:qFormat/>
    <w:rsid w:val="00794496"/>
    <w:rPr>
      <w:rFonts w:asciiTheme="majorHAnsi" w:hAnsiTheme="majorHAnsi"/>
      <w:color w:val="000000" w:themeColor="text1"/>
      <w:sz w:val="32"/>
      <w:lang w:eastAsia="sv-SE"/>
    </w:rPr>
  </w:style>
  <w:style w:type="character" w:customStyle="1" w:styleId="Bodycopy-bigChar">
    <w:name w:val="Body copy - big Char"/>
    <w:basedOn w:val="Heading3Char"/>
    <w:link w:val="Bodycopy-big"/>
    <w:rsid w:val="00794496"/>
    <w:rPr>
      <w:rFonts w:asciiTheme="majorHAnsi" w:eastAsia="Times New Roman" w:hAnsiTheme="majorHAnsi" w:cs="Times New Roman"/>
      <w:bCs w:val="0"/>
      <w:i w:val="0"/>
      <w:iCs w:val="0"/>
      <w:color w:val="000000" w:themeColor="text1"/>
      <w:sz w:val="32"/>
      <w:szCs w:val="24"/>
      <w:lang w:eastAsia="sv-SE"/>
    </w:rPr>
  </w:style>
  <w:style w:type="character" w:customStyle="1" w:styleId="1">
    <w:name w:val="Неразрешенное упоминание1"/>
    <w:basedOn w:val="DefaultParagraphFont"/>
    <w:uiPriority w:val="99"/>
    <w:semiHidden/>
    <w:unhideWhenUsed/>
    <w:rsid w:val="00794496"/>
    <w:rPr>
      <w:color w:val="605E5C"/>
      <w:shd w:val="clear" w:color="auto" w:fill="E1DFDD"/>
    </w:rPr>
  </w:style>
  <w:style w:type="paragraph" w:customStyle="1" w:styleId="yiv0282111450date">
    <w:name w:val="yiv0282111450date"/>
    <w:basedOn w:val="Normal"/>
    <w:rsid w:val="00794496"/>
    <w:pPr>
      <w:spacing w:before="100" w:beforeAutospacing="1" w:after="100" w:afterAutospacing="1"/>
    </w:pPr>
  </w:style>
  <w:style w:type="paragraph" w:customStyle="1" w:styleId="yiv0282111450analyst-name">
    <w:name w:val="yiv0282111450analyst-name"/>
    <w:basedOn w:val="Normal"/>
    <w:rsid w:val="00794496"/>
    <w:pPr>
      <w:spacing w:before="100" w:beforeAutospacing="1" w:after="100" w:afterAutospacing="1"/>
    </w:pPr>
  </w:style>
  <w:style w:type="paragraph" w:customStyle="1" w:styleId="yiv0282111450analyst-job">
    <w:name w:val="yiv0282111450analyst-job"/>
    <w:basedOn w:val="Normal"/>
    <w:rsid w:val="00794496"/>
    <w:pPr>
      <w:spacing w:before="100" w:beforeAutospacing="1" w:after="100" w:afterAutospacing="1"/>
    </w:pPr>
  </w:style>
  <w:style w:type="paragraph" w:customStyle="1" w:styleId="yiv0282111450analyst-phone">
    <w:name w:val="yiv0282111450analyst-phone"/>
    <w:basedOn w:val="Normal"/>
    <w:rsid w:val="00794496"/>
    <w:pPr>
      <w:spacing w:before="100" w:beforeAutospacing="1" w:after="100" w:afterAutospacing="1"/>
    </w:pPr>
  </w:style>
  <w:style w:type="paragraph" w:customStyle="1" w:styleId="yiv0282111450analyst-email">
    <w:name w:val="yiv0282111450analyst-email"/>
    <w:basedOn w:val="Normal"/>
    <w:rsid w:val="00794496"/>
    <w:pPr>
      <w:spacing w:before="100" w:beforeAutospacing="1" w:after="100" w:afterAutospacing="1"/>
    </w:pPr>
  </w:style>
  <w:style w:type="character" w:customStyle="1" w:styleId="article-classifiergap">
    <w:name w:val="article-classifier__gap"/>
    <w:basedOn w:val="DefaultParagraphFont"/>
    <w:rsid w:val="00794496"/>
  </w:style>
  <w:style w:type="character" w:customStyle="1" w:styleId="UnresolvedMention2">
    <w:name w:val="Unresolved Mention2"/>
    <w:basedOn w:val="DefaultParagraphFont"/>
    <w:uiPriority w:val="99"/>
    <w:semiHidden/>
    <w:unhideWhenUsed/>
    <w:rsid w:val="00427392"/>
    <w:rPr>
      <w:color w:val="605E5C"/>
      <w:shd w:val="clear" w:color="auto" w:fill="E1DFDD"/>
    </w:rPr>
  </w:style>
  <w:style w:type="character" w:customStyle="1" w:styleId="Caption1">
    <w:name w:val="Caption1"/>
    <w:basedOn w:val="DefaultParagraphFont"/>
    <w:rsid w:val="00EC26B1"/>
  </w:style>
  <w:style w:type="character" w:customStyle="1" w:styleId="external-linklast-word">
    <w:name w:val="external-link__last-word"/>
    <w:basedOn w:val="DefaultParagraphFont"/>
    <w:rsid w:val="00EC26B1"/>
  </w:style>
  <w:style w:type="character" w:customStyle="1" w:styleId="rynqvb">
    <w:name w:val="rynqvb"/>
    <w:basedOn w:val="DefaultParagraphFont"/>
    <w:rsid w:val="00EC26B1"/>
  </w:style>
  <w:style w:type="character" w:styleId="UnresolvedMention">
    <w:name w:val="Unresolved Mention"/>
    <w:basedOn w:val="DefaultParagraphFont"/>
    <w:uiPriority w:val="99"/>
    <w:semiHidden/>
    <w:unhideWhenUsed/>
    <w:rsid w:val="006A26A2"/>
    <w:rPr>
      <w:color w:val="605E5C"/>
      <w:shd w:val="clear" w:color="auto" w:fill="E1DFDD"/>
    </w:rPr>
  </w:style>
  <w:style w:type="paragraph" w:customStyle="1" w:styleId="Body">
    <w:name w:val="Body"/>
    <w:rsid w:val="00AB0947"/>
    <w:pPr>
      <w:pBdr>
        <w:top w:val="nil"/>
        <w:left w:val="nil"/>
        <w:bottom w:val="nil"/>
        <w:right w:val="nil"/>
        <w:between w:val="nil"/>
        <w:bar w:val="nil"/>
      </w:pBdr>
      <w:spacing w:line="288" w:lineRule="auto"/>
      <w:jc w:val="both"/>
    </w:pPr>
    <w:rPr>
      <w:rFonts w:ascii="Palatino Linotype" w:eastAsia="Palatino Linotype" w:hAnsi="Palatino Linotype" w:cs="Palatino Linotype"/>
      <w:color w:val="000000"/>
      <w:sz w:val="24"/>
      <w:szCs w:val="24"/>
      <w:u w:color="000000"/>
      <w:bdr w:val="nil"/>
      <w14:textOutline w14:w="0" w14:cap="flat" w14:cmpd="sng" w14:algn="ctr">
        <w14:noFill/>
        <w14:prstDash w14:val="solid"/>
        <w14:bevel/>
      </w14:textOutline>
    </w:rPr>
  </w:style>
  <w:style w:type="character" w:customStyle="1" w:styleId="None">
    <w:name w:val="None"/>
    <w:rsid w:val="00073B51"/>
  </w:style>
  <w:style w:type="character" w:customStyle="1" w:styleId="Hyperlink3">
    <w:name w:val="Hyperlink.3"/>
    <w:basedOn w:val="Hyperlink"/>
    <w:rsid w:val="00A85800"/>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7857">
      <w:bodyDiv w:val="1"/>
      <w:marLeft w:val="0"/>
      <w:marRight w:val="0"/>
      <w:marTop w:val="0"/>
      <w:marBottom w:val="0"/>
      <w:divBdr>
        <w:top w:val="none" w:sz="0" w:space="0" w:color="auto"/>
        <w:left w:val="none" w:sz="0" w:space="0" w:color="auto"/>
        <w:bottom w:val="none" w:sz="0" w:space="0" w:color="auto"/>
        <w:right w:val="none" w:sz="0" w:space="0" w:color="auto"/>
      </w:divBdr>
    </w:div>
    <w:div w:id="89738422">
      <w:bodyDiv w:val="1"/>
      <w:marLeft w:val="0"/>
      <w:marRight w:val="0"/>
      <w:marTop w:val="0"/>
      <w:marBottom w:val="0"/>
      <w:divBdr>
        <w:top w:val="none" w:sz="0" w:space="0" w:color="auto"/>
        <w:left w:val="none" w:sz="0" w:space="0" w:color="auto"/>
        <w:bottom w:val="none" w:sz="0" w:space="0" w:color="auto"/>
        <w:right w:val="none" w:sz="0" w:space="0" w:color="auto"/>
      </w:divBdr>
    </w:div>
    <w:div w:id="102306321">
      <w:bodyDiv w:val="1"/>
      <w:marLeft w:val="0"/>
      <w:marRight w:val="0"/>
      <w:marTop w:val="0"/>
      <w:marBottom w:val="0"/>
      <w:divBdr>
        <w:top w:val="none" w:sz="0" w:space="0" w:color="auto"/>
        <w:left w:val="none" w:sz="0" w:space="0" w:color="auto"/>
        <w:bottom w:val="none" w:sz="0" w:space="0" w:color="auto"/>
        <w:right w:val="none" w:sz="0" w:space="0" w:color="auto"/>
      </w:divBdr>
    </w:div>
    <w:div w:id="133254308">
      <w:bodyDiv w:val="1"/>
      <w:marLeft w:val="0"/>
      <w:marRight w:val="0"/>
      <w:marTop w:val="0"/>
      <w:marBottom w:val="0"/>
      <w:divBdr>
        <w:top w:val="none" w:sz="0" w:space="0" w:color="auto"/>
        <w:left w:val="none" w:sz="0" w:space="0" w:color="auto"/>
        <w:bottom w:val="none" w:sz="0" w:space="0" w:color="auto"/>
        <w:right w:val="none" w:sz="0" w:space="0" w:color="auto"/>
      </w:divBdr>
    </w:div>
    <w:div w:id="190728446">
      <w:bodyDiv w:val="1"/>
      <w:marLeft w:val="0"/>
      <w:marRight w:val="0"/>
      <w:marTop w:val="0"/>
      <w:marBottom w:val="0"/>
      <w:divBdr>
        <w:top w:val="none" w:sz="0" w:space="0" w:color="auto"/>
        <w:left w:val="none" w:sz="0" w:space="0" w:color="auto"/>
        <w:bottom w:val="none" w:sz="0" w:space="0" w:color="auto"/>
        <w:right w:val="none" w:sz="0" w:space="0" w:color="auto"/>
      </w:divBdr>
    </w:div>
    <w:div w:id="279998279">
      <w:bodyDiv w:val="1"/>
      <w:marLeft w:val="0"/>
      <w:marRight w:val="0"/>
      <w:marTop w:val="0"/>
      <w:marBottom w:val="0"/>
      <w:divBdr>
        <w:top w:val="none" w:sz="0" w:space="0" w:color="auto"/>
        <w:left w:val="none" w:sz="0" w:space="0" w:color="auto"/>
        <w:bottom w:val="none" w:sz="0" w:space="0" w:color="auto"/>
        <w:right w:val="none" w:sz="0" w:space="0" w:color="auto"/>
      </w:divBdr>
    </w:div>
    <w:div w:id="293021542">
      <w:bodyDiv w:val="1"/>
      <w:marLeft w:val="0"/>
      <w:marRight w:val="0"/>
      <w:marTop w:val="0"/>
      <w:marBottom w:val="0"/>
      <w:divBdr>
        <w:top w:val="none" w:sz="0" w:space="0" w:color="auto"/>
        <w:left w:val="none" w:sz="0" w:space="0" w:color="auto"/>
        <w:bottom w:val="none" w:sz="0" w:space="0" w:color="auto"/>
        <w:right w:val="none" w:sz="0" w:space="0" w:color="auto"/>
      </w:divBdr>
    </w:div>
    <w:div w:id="307131233">
      <w:bodyDiv w:val="1"/>
      <w:marLeft w:val="0"/>
      <w:marRight w:val="0"/>
      <w:marTop w:val="0"/>
      <w:marBottom w:val="0"/>
      <w:divBdr>
        <w:top w:val="none" w:sz="0" w:space="0" w:color="auto"/>
        <w:left w:val="none" w:sz="0" w:space="0" w:color="auto"/>
        <w:bottom w:val="none" w:sz="0" w:space="0" w:color="auto"/>
        <w:right w:val="none" w:sz="0" w:space="0" w:color="auto"/>
      </w:divBdr>
    </w:div>
    <w:div w:id="312950913">
      <w:bodyDiv w:val="1"/>
      <w:marLeft w:val="0"/>
      <w:marRight w:val="0"/>
      <w:marTop w:val="0"/>
      <w:marBottom w:val="0"/>
      <w:divBdr>
        <w:top w:val="none" w:sz="0" w:space="0" w:color="auto"/>
        <w:left w:val="none" w:sz="0" w:space="0" w:color="auto"/>
        <w:bottom w:val="none" w:sz="0" w:space="0" w:color="auto"/>
        <w:right w:val="none" w:sz="0" w:space="0" w:color="auto"/>
      </w:divBdr>
    </w:div>
    <w:div w:id="319889223">
      <w:bodyDiv w:val="1"/>
      <w:marLeft w:val="0"/>
      <w:marRight w:val="0"/>
      <w:marTop w:val="0"/>
      <w:marBottom w:val="0"/>
      <w:divBdr>
        <w:top w:val="none" w:sz="0" w:space="0" w:color="auto"/>
        <w:left w:val="none" w:sz="0" w:space="0" w:color="auto"/>
        <w:bottom w:val="none" w:sz="0" w:space="0" w:color="auto"/>
        <w:right w:val="none" w:sz="0" w:space="0" w:color="auto"/>
      </w:divBdr>
    </w:div>
    <w:div w:id="341779561">
      <w:bodyDiv w:val="1"/>
      <w:marLeft w:val="0"/>
      <w:marRight w:val="0"/>
      <w:marTop w:val="0"/>
      <w:marBottom w:val="0"/>
      <w:divBdr>
        <w:top w:val="none" w:sz="0" w:space="0" w:color="auto"/>
        <w:left w:val="none" w:sz="0" w:space="0" w:color="auto"/>
        <w:bottom w:val="none" w:sz="0" w:space="0" w:color="auto"/>
        <w:right w:val="none" w:sz="0" w:space="0" w:color="auto"/>
      </w:divBdr>
    </w:div>
    <w:div w:id="404835697">
      <w:bodyDiv w:val="1"/>
      <w:marLeft w:val="0"/>
      <w:marRight w:val="0"/>
      <w:marTop w:val="0"/>
      <w:marBottom w:val="0"/>
      <w:divBdr>
        <w:top w:val="none" w:sz="0" w:space="0" w:color="auto"/>
        <w:left w:val="none" w:sz="0" w:space="0" w:color="auto"/>
        <w:bottom w:val="none" w:sz="0" w:space="0" w:color="auto"/>
        <w:right w:val="none" w:sz="0" w:space="0" w:color="auto"/>
      </w:divBdr>
    </w:div>
    <w:div w:id="425854447">
      <w:bodyDiv w:val="1"/>
      <w:marLeft w:val="0"/>
      <w:marRight w:val="0"/>
      <w:marTop w:val="0"/>
      <w:marBottom w:val="0"/>
      <w:divBdr>
        <w:top w:val="none" w:sz="0" w:space="0" w:color="auto"/>
        <w:left w:val="none" w:sz="0" w:space="0" w:color="auto"/>
        <w:bottom w:val="none" w:sz="0" w:space="0" w:color="auto"/>
        <w:right w:val="none" w:sz="0" w:space="0" w:color="auto"/>
      </w:divBdr>
    </w:div>
    <w:div w:id="439840714">
      <w:bodyDiv w:val="1"/>
      <w:marLeft w:val="0"/>
      <w:marRight w:val="0"/>
      <w:marTop w:val="0"/>
      <w:marBottom w:val="0"/>
      <w:divBdr>
        <w:top w:val="none" w:sz="0" w:space="0" w:color="auto"/>
        <w:left w:val="none" w:sz="0" w:space="0" w:color="auto"/>
        <w:bottom w:val="none" w:sz="0" w:space="0" w:color="auto"/>
        <w:right w:val="none" w:sz="0" w:space="0" w:color="auto"/>
      </w:divBdr>
    </w:div>
    <w:div w:id="509761499">
      <w:bodyDiv w:val="1"/>
      <w:marLeft w:val="0"/>
      <w:marRight w:val="0"/>
      <w:marTop w:val="0"/>
      <w:marBottom w:val="0"/>
      <w:divBdr>
        <w:top w:val="none" w:sz="0" w:space="0" w:color="auto"/>
        <w:left w:val="none" w:sz="0" w:space="0" w:color="auto"/>
        <w:bottom w:val="none" w:sz="0" w:space="0" w:color="auto"/>
        <w:right w:val="none" w:sz="0" w:space="0" w:color="auto"/>
      </w:divBdr>
    </w:div>
    <w:div w:id="536163564">
      <w:bodyDiv w:val="1"/>
      <w:marLeft w:val="0"/>
      <w:marRight w:val="0"/>
      <w:marTop w:val="0"/>
      <w:marBottom w:val="0"/>
      <w:divBdr>
        <w:top w:val="none" w:sz="0" w:space="0" w:color="auto"/>
        <w:left w:val="none" w:sz="0" w:space="0" w:color="auto"/>
        <w:bottom w:val="none" w:sz="0" w:space="0" w:color="auto"/>
        <w:right w:val="none" w:sz="0" w:space="0" w:color="auto"/>
      </w:divBdr>
    </w:div>
    <w:div w:id="569855009">
      <w:bodyDiv w:val="1"/>
      <w:marLeft w:val="0"/>
      <w:marRight w:val="0"/>
      <w:marTop w:val="0"/>
      <w:marBottom w:val="0"/>
      <w:divBdr>
        <w:top w:val="none" w:sz="0" w:space="0" w:color="auto"/>
        <w:left w:val="none" w:sz="0" w:space="0" w:color="auto"/>
        <w:bottom w:val="none" w:sz="0" w:space="0" w:color="auto"/>
        <w:right w:val="none" w:sz="0" w:space="0" w:color="auto"/>
      </w:divBdr>
    </w:div>
    <w:div w:id="570432915">
      <w:bodyDiv w:val="1"/>
      <w:marLeft w:val="0"/>
      <w:marRight w:val="0"/>
      <w:marTop w:val="0"/>
      <w:marBottom w:val="0"/>
      <w:divBdr>
        <w:top w:val="none" w:sz="0" w:space="0" w:color="auto"/>
        <w:left w:val="none" w:sz="0" w:space="0" w:color="auto"/>
        <w:bottom w:val="none" w:sz="0" w:space="0" w:color="auto"/>
        <w:right w:val="none" w:sz="0" w:space="0" w:color="auto"/>
      </w:divBdr>
    </w:div>
    <w:div w:id="595098970">
      <w:bodyDiv w:val="1"/>
      <w:marLeft w:val="0"/>
      <w:marRight w:val="0"/>
      <w:marTop w:val="0"/>
      <w:marBottom w:val="0"/>
      <w:divBdr>
        <w:top w:val="none" w:sz="0" w:space="0" w:color="auto"/>
        <w:left w:val="none" w:sz="0" w:space="0" w:color="auto"/>
        <w:bottom w:val="none" w:sz="0" w:space="0" w:color="auto"/>
        <w:right w:val="none" w:sz="0" w:space="0" w:color="auto"/>
      </w:divBdr>
    </w:div>
    <w:div w:id="663431357">
      <w:bodyDiv w:val="1"/>
      <w:marLeft w:val="0"/>
      <w:marRight w:val="0"/>
      <w:marTop w:val="0"/>
      <w:marBottom w:val="0"/>
      <w:divBdr>
        <w:top w:val="none" w:sz="0" w:space="0" w:color="auto"/>
        <w:left w:val="none" w:sz="0" w:space="0" w:color="auto"/>
        <w:bottom w:val="none" w:sz="0" w:space="0" w:color="auto"/>
        <w:right w:val="none" w:sz="0" w:space="0" w:color="auto"/>
      </w:divBdr>
    </w:div>
    <w:div w:id="670330432">
      <w:bodyDiv w:val="1"/>
      <w:marLeft w:val="0"/>
      <w:marRight w:val="0"/>
      <w:marTop w:val="0"/>
      <w:marBottom w:val="0"/>
      <w:divBdr>
        <w:top w:val="none" w:sz="0" w:space="0" w:color="auto"/>
        <w:left w:val="none" w:sz="0" w:space="0" w:color="auto"/>
        <w:bottom w:val="none" w:sz="0" w:space="0" w:color="auto"/>
        <w:right w:val="none" w:sz="0" w:space="0" w:color="auto"/>
      </w:divBdr>
    </w:div>
    <w:div w:id="695733105">
      <w:bodyDiv w:val="1"/>
      <w:marLeft w:val="0"/>
      <w:marRight w:val="0"/>
      <w:marTop w:val="0"/>
      <w:marBottom w:val="0"/>
      <w:divBdr>
        <w:top w:val="none" w:sz="0" w:space="0" w:color="auto"/>
        <w:left w:val="none" w:sz="0" w:space="0" w:color="auto"/>
        <w:bottom w:val="none" w:sz="0" w:space="0" w:color="auto"/>
        <w:right w:val="none" w:sz="0" w:space="0" w:color="auto"/>
      </w:divBdr>
    </w:div>
    <w:div w:id="702172253">
      <w:bodyDiv w:val="1"/>
      <w:marLeft w:val="0"/>
      <w:marRight w:val="0"/>
      <w:marTop w:val="0"/>
      <w:marBottom w:val="0"/>
      <w:divBdr>
        <w:top w:val="none" w:sz="0" w:space="0" w:color="auto"/>
        <w:left w:val="none" w:sz="0" w:space="0" w:color="auto"/>
        <w:bottom w:val="none" w:sz="0" w:space="0" w:color="auto"/>
        <w:right w:val="none" w:sz="0" w:space="0" w:color="auto"/>
      </w:divBdr>
    </w:div>
    <w:div w:id="776293963">
      <w:bodyDiv w:val="1"/>
      <w:marLeft w:val="0"/>
      <w:marRight w:val="0"/>
      <w:marTop w:val="0"/>
      <w:marBottom w:val="0"/>
      <w:divBdr>
        <w:top w:val="none" w:sz="0" w:space="0" w:color="auto"/>
        <w:left w:val="none" w:sz="0" w:space="0" w:color="auto"/>
        <w:bottom w:val="none" w:sz="0" w:space="0" w:color="auto"/>
        <w:right w:val="none" w:sz="0" w:space="0" w:color="auto"/>
      </w:divBdr>
    </w:div>
    <w:div w:id="778598744">
      <w:bodyDiv w:val="1"/>
      <w:marLeft w:val="0"/>
      <w:marRight w:val="0"/>
      <w:marTop w:val="0"/>
      <w:marBottom w:val="0"/>
      <w:divBdr>
        <w:top w:val="none" w:sz="0" w:space="0" w:color="auto"/>
        <w:left w:val="none" w:sz="0" w:space="0" w:color="auto"/>
        <w:bottom w:val="none" w:sz="0" w:space="0" w:color="auto"/>
        <w:right w:val="none" w:sz="0" w:space="0" w:color="auto"/>
      </w:divBdr>
    </w:div>
    <w:div w:id="814570144">
      <w:bodyDiv w:val="1"/>
      <w:marLeft w:val="0"/>
      <w:marRight w:val="0"/>
      <w:marTop w:val="0"/>
      <w:marBottom w:val="0"/>
      <w:divBdr>
        <w:top w:val="none" w:sz="0" w:space="0" w:color="auto"/>
        <w:left w:val="none" w:sz="0" w:space="0" w:color="auto"/>
        <w:bottom w:val="none" w:sz="0" w:space="0" w:color="auto"/>
        <w:right w:val="none" w:sz="0" w:space="0" w:color="auto"/>
      </w:divBdr>
    </w:div>
    <w:div w:id="856390939">
      <w:bodyDiv w:val="1"/>
      <w:marLeft w:val="0"/>
      <w:marRight w:val="0"/>
      <w:marTop w:val="0"/>
      <w:marBottom w:val="0"/>
      <w:divBdr>
        <w:top w:val="none" w:sz="0" w:space="0" w:color="auto"/>
        <w:left w:val="none" w:sz="0" w:space="0" w:color="auto"/>
        <w:bottom w:val="none" w:sz="0" w:space="0" w:color="auto"/>
        <w:right w:val="none" w:sz="0" w:space="0" w:color="auto"/>
      </w:divBdr>
    </w:div>
    <w:div w:id="874003347">
      <w:bodyDiv w:val="1"/>
      <w:marLeft w:val="0"/>
      <w:marRight w:val="0"/>
      <w:marTop w:val="0"/>
      <w:marBottom w:val="0"/>
      <w:divBdr>
        <w:top w:val="none" w:sz="0" w:space="0" w:color="auto"/>
        <w:left w:val="none" w:sz="0" w:space="0" w:color="auto"/>
        <w:bottom w:val="none" w:sz="0" w:space="0" w:color="auto"/>
        <w:right w:val="none" w:sz="0" w:space="0" w:color="auto"/>
      </w:divBdr>
    </w:div>
    <w:div w:id="917396978">
      <w:bodyDiv w:val="1"/>
      <w:marLeft w:val="0"/>
      <w:marRight w:val="0"/>
      <w:marTop w:val="0"/>
      <w:marBottom w:val="0"/>
      <w:divBdr>
        <w:top w:val="none" w:sz="0" w:space="0" w:color="auto"/>
        <w:left w:val="none" w:sz="0" w:space="0" w:color="auto"/>
        <w:bottom w:val="none" w:sz="0" w:space="0" w:color="auto"/>
        <w:right w:val="none" w:sz="0" w:space="0" w:color="auto"/>
      </w:divBdr>
    </w:div>
    <w:div w:id="923341695">
      <w:bodyDiv w:val="1"/>
      <w:marLeft w:val="0"/>
      <w:marRight w:val="0"/>
      <w:marTop w:val="0"/>
      <w:marBottom w:val="0"/>
      <w:divBdr>
        <w:top w:val="none" w:sz="0" w:space="0" w:color="auto"/>
        <w:left w:val="none" w:sz="0" w:space="0" w:color="auto"/>
        <w:bottom w:val="none" w:sz="0" w:space="0" w:color="auto"/>
        <w:right w:val="none" w:sz="0" w:space="0" w:color="auto"/>
      </w:divBdr>
    </w:div>
    <w:div w:id="975255854">
      <w:bodyDiv w:val="1"/>
      <w:marLeft w:val="0"/>
      <w:marRight w:val="0"/>
      <w:marTop w:val="0"/>
      <w:marBottom w:val="0"/>
      <w:divBdr>
        <w:top w:val="none" w:sz="0" w:space="0" w:color="auto"/>
        <w:left w:val="none" w:sz="0" w:space="0" w:color="auto"/>
        <w:bottom w:val="none" w:sz="0" w:space="0" w:color="auto"/>
        <w:right w:val="none" w:sz="0" w:space="0" w:color="auto"/>
      </w:divBdr>
    </w:div>
    <w:div w:id="978654167">
      <w:bodyDiv w:val="1"/>
      <w:marLeft w:val="0"/>
      <w:marRight w:val="0"/>
      <w:marTop w:val="0"/>
      <w:marBottom w:val="0"/>
      <w:divBdr>
        <w:top w:val="none" w:sz="0" w:space="0" w:color="auto"/>
        <w:left w:val="none" w:sz="0" w:space="0" w:color="auto"/>
        <w:bottom w:val="none" w:sz="0" w:space="0" w:color="auto"/>
        <w:right w:val="none" w:sz="0" w:space="0" w:color="auto"/>
      </w:divBdr>
    </w:div>
    <w:div w:id="983702551">
      <w:bodyDiv w:val="1"/>
      <w:marLeft w:val="0"/>
      <w:marRight w:val="0"/>
      <w:marTop w:val="0"/>
      <w:marBottom w:val="0"/>
      <w:divBdr>
        <w:top w:val="none" w:sz="0" w:space="0" w:color="auto"/>
        <w:left w:val="none" w:sz="0" w:space="0" w:color="auto"/>
        <w:bottom w:val="none" w:sz="0" w:space="0" w:color="auto"/>
        <w:right w:val="none" w:sz="0" w:space="0" w:color="auto"/>
      </w:divBdr>
    </w:div>
    <w:div w:id="1043409071">
      <w:bodyDiv w:val="1"/>
      <w:marLeft w:val="0"/>
      <w:marRight w:val="0"/>
      <w:marTop w:val="0"/>
      <w:marBottom w:val="0"/>
      <w:divBdr>
        <w:top w:val="none" w:sz="0" w:space="0" w:color="auto"/>
        <w:left w:val="none" w:sz="0" w:space="0" w:color="auto"/>
        <w:bottom w:val="none" w:sz="0" w:space="0" w:color="auto"/>
        <w:right w:val="none" w:sz="0" w:space="0" w:color="auto"/>
      </w:divBdr>
    </w:div>
    <w:div w:id="1074082763">
      <w:bodyDiv w:val="1"/>
      <w:marLeft w:val="0"/>
      <w:marRight w:val="0"/>
      <w:marTop w:val="0"/>
      <w:marBottom w:val="0"/>
      <w:divBdr>
        <w:top w:val="none" w:sz="0" w:space="0" w:color="auto"/>
        <w:left w:val="none" w:sz="0" w:space="0" w:color="auto"/>
        <w:bottom w:val="none" w:sz="0" w:space="0" w:color="auto"/>
        <w:right w:val="none" w:sz="0" w:space="0" w:color="auto"/>
      </w:divBdr>
    </w:div>
    <w:div w:id="1075393652">
      <w:bodyDiv w:val="1"/>
      <w:marLeft w:val="0"/>
      <w:marRight w:val="0"/>
      <w:marTop w:val="0"/>
      <w:marBottom w:val="0"/>
      <w:divBdr>
        <w:top w:val="none" w:sz="0" w:space="0" w:color="auto"/>
        <w:left w:val="none" w:sz="0" w:space="0" w:color="auto"/>
        <w:bottom w:val="none" w:sz="0" w:space="0" w:color="auto"/>
        <w:right w:val="none" w:sz="0" w:space="0" w:color="auto"/>
      </w:divBdr>
    </w:div>
    <w:div w:id="1098913370">
      <w:bodyDiv w:val="1"/>
      <w:marLeft w:val="0"/>
      <w:marRight w:val="0"/>
      <w:marTop w:val="0"/>
      <w:marBottom w:val="0"/>
      <w:divBdr>
        <w:top w:val="none" w:sz="0" w:space="0" w:color="auto"/>
        <w:left w:val="none" w:sz="0" w:space="0" w:color="auto"/>
        <w:bottom w:val="none" w:sz="0" w:space="0" w:color="auto"/>
        <w:right w:val="none" w:sz="0" w:space="0" w:color="auto"/>
      </w:divBdr>
    </w:div>
    <w:div w:id="1105734960">
      <w:bodyDiv w:val="1"/>
      <w:marLeft w:val="0"/>
      <w:marRight w:val="0"/>
      <w:marTop w:val="0"/>
      <w:marBottom w:val="0"/>
      <w:divBdr>
        <w:top w:val="none" w:sz="0" w:space="0" w:color="auto"/>
        <w:left w:val="none" w:sz="0" w:space="0" w:color="auto"/>
        <w:bottom w:val="none" w:sz="0" w:space="0" w:color="auto"/>
        <w:right w:val="none" w:sz="0" w:space="0" w:color="auto"/>
      </w:divBdr>
    </w:div>
    <w:div w:id="1176845162">
      <w:bodyDiv w:val="1"/>
      <w:marLeft w:val="0"/>
      <w:marRight w:val="0"/>
      <w:marTop w:val="0"/>
      <w:marBottom w:val="0"/>
      <w:divBdr>
        <w:top w:val="none" w:sz="0" w:space="0" w:color="auto"/>
        <w:left w:val="none" w:sz="0" w:space="0" w:color="auto"/>
        <w:bottom w:val="none" w:sz="0" w:space="0" w:color="auto"/>
        <w:right w:val="none" w:sz="0" w:space="0" w:color="auto"/>
      </w:divBdr>
    </w:div>
    <w:div w:id="1208949191">
      <w:bodyDiv w:val="1"/>
      <w:marLeft w:val="0"/>
      <w:marRight w:val="0"/>
      <w:marTop w:val="0"/>
      <w:marBottom w:val="0"/>
      <w:divBdr>
        <w:top w:val="none" w:sz="0" w:space="0" w:color="auto"/>
        <w:left w:val="none" w:sz="0" w:space="0" w:color="auto"/>
        <w:bottom w:val="none" w:sz="0" w:space="0" w:color="auto"/>
        <w:right w:val="none" w:sz="0" w:space="0" w:color="auto"/>
      </w:divBdr>
    </w:div>
    <w:div w:id="1284731163">
      <w:bodyDiv w:val="1"/>
      <w:marLeft w:val="0"/>
      <w:marRight w:val="0"/>
      <w:marTop w:val="0"/>
      <w:marBottom w:val="0"/>
      <w:divBdr>
        <w:top w:val="none" w:sz="0" w:space="0" w:color="auto"/>
        <w:left w:val="none" w:sz="0" w:space="0" w:color="auto"/>
        <w:bottom w:val="none" w:sz="0" w:space="0" w:color="auto"/>
        <w:right w:val="none" w:sz="0" w:space="0" w:color="auto"/>
      </w:divBdr>
    </w:div>
    <w:div w:id="1296712703">
      <w:bodyDiv w:val="1"/>
      <w:marLeft w:val="0"/>
      <w:marRight w:val="0"/>
      <w:marTop w:val="0"/>
      <w:marBottom w:val="0"/>
      <w:divBdr>
        <w:top w:val="none" w:sz="0" w:space="0" w:color="auto"/>
        <w:left w:val="none" w:sz="0" w:space="0" w:color="auto"/>
        <w:bottom w:val="none" w:sz="0" w:space="0" w:color="auto"/>
        <w:right w:val="none" w:sz="0" w:space="0" w:color="auto"/>
      </w:divBdr>
    </w:div>
    <w:div w:id="1334186426">
      <w:bodyDiv w:val="1"/>
      <w:marLeft w:val="0"/>
      <w:marRight w:val="0"/>
      <w:marTop w:val="0"/>
      <w:marBottom w:val="0"/>
      <w:divBdr>
        <w:top w:val="none" w:sz="0" w:space="0" w:color="auto"/>
        <w:left w:val="none" w:sz="0" w:space="0" w:color="auto"/>
        <w:bottom w:val="none" w:sz="0" w:space="0" w:color="auto"/>
        <w:right w:val="none" w:sz="0" w:space="0" w:color="auto"/>
      </w:divBdr>
    </w:div>
    <w:div w:id="1369791768">
      <w:bodyDiv w:val="1"/>
      <w:marLeft w:val="0"/>
      <w:marRight w:val="0"/>
      <w:marTop w:val="0"/>
      <w:marBottom w:val="0"/>
      <w:divBdr>
        <w:top w:val="none" w:sz="0" w:space="0" w:color="auto"/>
        <w:left w:val="none" w:sz="0" w:space="0" w:color="auto"/>
        <w:bottom w:val="none" w:sz="0" w:space="0" w:color="auto"/>
        <w:right w:val="none" w:sz="0" w:space="0" w:color="auto"/>
      </w:divBdr>
    </w:div>
    <w:div w:id="1376806600">
      <w:bodyDiv w:val="1"/>
      <w:marLeft w:val="0"/>
      <w:marRight w:val="0"/>
      <w:marTop w:val="0"/>
      <w:marBottom w:val="0"/>
      <w:divBdr>
        <w:top w:val="none" w:sz="0" w:space="0" w:color="auto"/>
        <w:left w:val="none" w:sz="0" w:space="0" w:color="auto"/>
        <w:bottom w:val="none" w:sz="0" w:space="0" w:color="auto"/>
        <w:right w:val="none" w:sz="0" w:space="0" w:color="auto"/>
      </w:divBdr>
    </w:div>
    <w:div w:id="1383092863">
      <w:bodyDiv w:val="1"/>
      <w:marLeft w:val="0"/>
      <w:marRight w:val="0"/>
      <w:marTop w:val="0"/>
      <w:marBottom w:val="0"/>
      <w:divBdr>
        <w:top w:val="none" w:sz="0" w:space="0" w:color="auto"/>
        <w:left w:val="none" w:sz="0" w:space="0" w:color="auto"/>
        <w:bottom w:val="none" w:sz="0" w:space="0" w:color="auto"/>
        <w:right w:val="none" w:sz="0" w:space="0" w:color="auto"/>
      </w:divBdr>
    </w:div>
    <w:div w:id="1483040016">
      <w:bodyDiv w:val="1"/>
      <w:marLeft w:val="0"/>
      <w:marRight w:val="0"/>
      <w:marTop w:val="0"/>
      <w:marBottom w:val="0"/>
      <w:divBdr>
        <w:top w:val="none" w:sz="0" w:space="0" w:color="auto"/>
        <w:left w:val="none" w:sz="0" w:space="0" w:color="auto"/>
        <w:bottom w:val="none" w:sz="0" w:space="0" w:color="auto"/>
        <w:right w:val="none" w:sz="0" w:space="0" w:color="auto"/>
      </w:divBdr>
    </w:div>
    <w:div w:id="1509754192">
      <w:bodyDiv w:val="1"/>
      <w:marLeft w:val="0"/>
      <w:marRight w:val="0"/>
      <w:marTop w:val="0"/>
      <w:marBottom w:val="0"/>
      <w:divBdr>
        <w:top w:val="none" w:sz="0" w:space="0" w:color="auto"/>
        <w:left w:val="none" w:sz="0" w:space="0" w:color="auto"/>
        <w:bottom w:val="none" w:sz="0" w:space="0" w:color="auto"/>
        <w:right w:val="none" w:sz="0" w:space="0" w:color="auto"/>
      </w:divBdr>
    </w:div>
    <w:div w:id="1560167938">
      <w:bodyDiv w:val="1"/>
      <w:marLeft w:val="0"/>
      <w:marRight w:val="0"/>
      <w:marTop w:val="0"/>
      <w:marBottom w:val="0"/>
      <w:divBdr>
        <w:top w:val="none" w:sz="0" w:space="0" w:color="auto"/>
        <w:left w:val="none" w:sz="0" w:space="0" w:color="auto"/>
        <w:bottom w:val="none" w:sz="0" w:space="0" w:color="auto"/>
        <w:right w:val="none" w:sz="0" w:space="0" w:color="auto"/>
      </w:divBdr>
    </w:div>
    <w:div w:id="1561558230">
      <w:bodyDiv w:val="1"/>
      <w:marLeft w:val="0"/>
      <w:marRight w:val="0"/>
      <w:marTop w:val="0"/>
      <w:marBottom w:val="0"/>
      <w:divBdr>
        <w:top w:val="none" w:sz="0" w:space="0" w:color="auto"/>
        <w:left w:val="none" w:sz="0" w:space="0" w:color="auto"/>
        <w:bottom w:val="none" w:sz="0" w:space="0" w:color="auto"/>
        <w:right w:val="none" w:sz="0" w:space="0" w:color="auto"/>
      </w:divBdr>
    </w:div>
    <w:div w:id="1567178966">
      <w:bodyDiv w:val="1"/>
      <w:marLeft w:val="0"/>
      <w:marRight w:val="0"/>
      <w:marTop w:val="0"/>
      <w:marBottom w:val="0"/>
      <w:divBdr>
        <w:top w:val="none" w:sz="0" w:space="0" w:color="auto"/>
        <w:left w:val="none" w:sz="0" w:space="0" w:color="auto"/>
        <w:bottom w:val="none" w:sz="0" w:space="0" w:color="auto"/>
        <w:right w:val="none" w:sz="0" w:space="0" w:color="auto"/>
      </w:divBdr>
    </w:div>
    <w:div w:id="1580866487">
      <w:bodyDiv w:val="1"/>
      <w:marLeft w:val="0"/>
      <w:marRight w:val="0"/>
      <w:marTop w:val="0"/>
      <w:marBottom w:val="0"/>
      <w:divBdr>
        <w:top w:val="none" w:sz="0" w:space="0" w:color="auto"/>
        <w:left w:val="none" w:sz="0" w:space="0" w:color="auto"/>
        <w:bottom w:val="none" w:sz="0" w:space="0" w:color="auto"/>
        <w:right w:val="none" w:sz="0" w:space="0" w:color="auto"/>
      </w:divBdr>
    </w:div>
    <w:div w:id="1581866845">
      <w:bodyDiv w:val="1"/>
      <w:marLeft w:val="0"/>
      <w:marRight w:val="0"/>
      <w:marTop w:val="0"/>
      <w:marBottom w:val="0"/>
      <w:divBdr>
        <w:top w:val="none" w:sz="0" w:space="0" w:color="auto"/>
        <w:left w:val="none" w:sz="0" w:space="0" w:color="auto"/>
        <w:bottom w:val="none" w:sz="0" w:space="0" w:color="auto"/>
        <w:right w:val="none" w:sz="0" w:space="0" w:color="auto"/>
      </w:divBdr>
    </w:div>
    <w:div w:id="1583761515">
      <w:bodyDiv w:val="1"/>
      <w:marLeft w:val="0"/>
      <w:marRight w:val="0"/>
      <w:marTop w:val="0"/>
      <w:marBottom w:val="0"/>
      <w:divBdr>
        <w:top w:val="none" w:sz="0" w:space="0" w:color="auto"/>
        <w:left w:val="none" w:sz="0" w:space="0" w:color="auto"/>
        <w:bottom w:val="none" w:sz="0" w:space="0" w:color="auto"/>
        <w:right w:val="none" w:sz="0" w:space="0" w:color="auto"/>
      </w:divBdr>
    </w:div>
    <w:div w:id="1588154525">
      <w:bodyDiv w:val="1"/>
      <w:marLeft w:val="0"/>
      <w:marRight w:val="0"/>
      <w:marTop w:val="0"/>
      <w:marBottom w:val="0"/>
      <w:divBdr>
        <w:top w:val="none" w:sz="0" w:space="0" w:color="auto"/>
        <w:left w:val="none" w:sz="0" w:space="0" w:color="auto"/>
        <w:bottom w:val="none" w:sz="0" w:space="0" w:color="auto"/>
        <w:right w:val="none" w:sz="0" w:space="0" w:color="auto"/>
      </w:divBdr>
    </w:div>
    <w:div w:id="1664821696">
      <w:bodyDiv w:val="1"/>
      <w:marLeft w:val="0"/>
      <w:marRight w:val="0"/>
      <w:marTop w:val="0"/>
      <w:marBottom w:val="0"/>
      <w:divBdr>
        <w:top w:val="none" w:sz="0" w:space="0" w:color="auto"/>
        <w:left w:val="none" w:sz="0" w:space="0" w:color="auto"/>
        <w:bottom w:val="none" w:sz="0" w:space="0" w:color="auto"/>
        <w:right w:val="none" w:sz="0" w:space="0" w:color="auto"/>
      </w:divBdr>
    </w:div>
    <w:div w:id="1676296482">
      <w:bodyDiv w:val="1"/>
      <w:marLeft w:val="0"/>
      <w:marRight w:val="0"/>
      <w:marTop w:val="0"/>
      <w:marBottom w:val="0"/>
      <w:divBdr>
        <w:top w:val="none" w:sz="0" w:space="0" w:color="auto"/>
        <w:left w:val="none" w:sz="0" w:space="0" w:color="auto"/>
        <w:bottom w:val="none" w:sz="0" w:space="0" w:color="auto"/>
        <w:right w:val="none" w:sz="0" w:space="0" w:color="auto"/>
      </w:divBdr>
    </w:div>
    <w:div w:id="1676572133">
      <w:bodyDiv w:val="1"/>
      <w:marLeft w:val="0"/>
      <w:marRight w:val="0"/>
      <w:marTop w:val="0"/>
      <w:marBottom w:val="0"/>
      <w:divBdr>
        <w:top w:val="none" w:sz="0" w:space="0" w:color="auto"/>
        <w:left w:val="none" w:sz="0" w:space="0" w:color="auto"/>
        <w:bottom w:val="none" w:sz="0" w:space="0" w:color="auto"/>
        <w:right w:val="none" w:sz="0" w:space="0" w:color="auto"/>
      </w:divBdr>
    </w:div>
    <w:div w:id="1680619290">
      <w:bodyDiv w:val="1"/>
      <w:marLeft w:val="0"/>
      <w:marRight w:val="0"/>
      <w:marTop w:val="0"/>
      <w:marBottom w:val="0"/>
      <w:divBdr>
        <w:top w:val="none" w:sz="0" w:space="0" w:color="auto"/>
        <w:left w:val="none" w:sz="0" w:space="0" w:color="auto"/>
        <w:bottom w:val="none" w:sz="0" w:space="0" w:color="auto"/>
        <w:right w:val="none" w:sz="0" w:space="0" w:color="auto"/>
      </w:divBdr>
    </w:div>
    <w:div w:id="1699624292">
      <w:bodyDiv w:val="1"/>
      <w:marLeft w:val="0"/>
      <w:marRight w:val="0"/>
      <w:marTop w:val="0"/>
      <w:marBottom w:val="0"/>
      <w:divBdr>
        <w:top w:val="none" w:sz="0" w:space="0" w:color="auto"/>
        <w:left w:val="none" w:sz="0" w:space="0" w:color="auto"/>
        <w:bottom w:val="none" w:sz="0" w:space="0" w:color="auto"/>
        <w:right w:val="none" w:sz="0" w:space="0" w:color="auto"/>
      </w:divBdr>
    </w:div>
    <w:div w:id="1728602360">
      <w:bodyDiv w:val="1"/>
      <w:marLeft w:val="0"/>
      <w:marRight w:val="0"/>
      <w:marTop w:val="0"/>
      <w:marBottom w:val="0"/>
      <w:divBdr>
        <w:top w:val="none" w:sz="0" w:space="0" w:color="auto"/>
        <w:left w:val="none" w:sz="0" w:space="0" w:color="auto"/>
        <w:bottom w:val="none" w:sz="0" w:space="0" w:color="auto"/>
        <w:right w:val="none" w:sz="0" w:space="0" w:color="auto"/>
      </w:divBdr>
    </w:div>
    <w:div w:id="1732386667">
      <w:bodyDiv w:val="1"/>
      <w:marLeft w:val="0"/>
      <w:marRight w:val="0"/>
      <w:marTop w:val="0"/>
      <w:marBottom w:val="0"/>
      <w:divBdr>
        <w:top w:val="none" w:sz="0" w:space="0" w:color="auto"/>
        <w:left w:val="none" w:sz="0" w:space="0" w:color="auto"/>
        <w:bottom w:val="none" w:sz="0" w:space="0" w:color="auto"/>
        <w:right w:val="none" w:sz="0" w:space="0" w:color="auto"/>
      </w:divBdr>
    </w:div>
    <w:div w:id="1755007735">
      <w:bodyDiv w:val="1"/>
      <w:marLeft w:val="0"/>
      <w:marRight w:val="0"/>
      <w:marTop w:val="0"/>
      <w:marBottom w:val="0"/>
      <w:divBdr>
        <w:top w:val="none" w:sz="0" w:space="0" w:color="auto"/>
        <w:left w:val="none" w:sz="0" w:space="0" w:color="auto"/>
        <w:bottom w:val="none" w:sz="0" w:space="0" w:color="auto"/>
        <w:right w:val="none" w:sz="0" w:space="0" w:color="auto"/>
      </w:divBdr>
    </w:div>
    <w:div w:id="1806310051">
      <w:bodyDiv w:val="1"/>
      <w:marLeft w:val="0"/>
      <w:marRight w:val="0"/>
      <w:marTop w:val="0"/>
      <w:marBottom w:val="0"/>
      <w:divBdr>
        <w:top w:val="none" w:sz="0" w:space="0" w:color="auto"/>
        <w:left w:val="none" w:sz="0" w:space="0" w:color="auto"/>
        <w:bottom w:val="none" w:sz="0" w:space="0" w:color="auto"/>
        <w:right w:val="none" w:sz="0" w:space="0" w:color="auto"/>
      </w:divBdr>
    </w:div>
    <w:div w:id="1829127377">
      <w:bodyDiv w:val="1"/>
      <w:marLeft w:val="0"/>
      <w:marRight w:val="0"/>
      <w:marTop w:val="0"/>
      <w:marBottom w:val="0"/>
      <w:divBdr>
        <w:top w:val="none" w:sz="0" w:space="0" w:color="auto"/>
        <w:left w:val="none" w:sz="0" w:space="0" w:color="auto"/>
        <w:bottom w:val="none" w:sz="0" w:space="0" w:color="auto"/>
        <w:right w:val="none" w:sz="0" w:space="0" w:color="auto"/>
      </w:divBdr>
    </w:div>
    <w:div w:id="1846748263">
      <w:bodyDiv w:val="1"/>
      <w:marLeft w:val="0"/>
      <w:marRight w:val="0"/>
      <w:marTop w:val="0"/>
      <w:marBottom w:val="0"/>
      <w:divBdr>
        <w:top w:val="none" w:sz="0" w:space="0" w:color="auto"/>
        <w:left w:val="none" w:sz="0" w:space="0" w:color="auto"/>
        <w:bottom w:val="none" w:sz="0" w:space="0" w:color="auto"/>
        <w:right w:val="none" w:sz="0" w:space="0" w:color="auto"/>
      </w:divBdr>
    </w:div>
    <w:div w:id="1878354645">
      <w:bodyDiv w:val="1"/>
      <w:marLeft w:val="0"/>
      <w:marRight w:val="0"/>
      <w:marTop w:val="0"/>
      <w:marBottom w:val="0"/>
      <w:divBdr>
        <w:top w:val="none" w:sz="0" w:space="0" w:color="auto"/>
        <w:left w:val="none" w:sz="0" w:space="0" w:color="auto"/>
        <w:bottom w:val="none" w:sz="0" w:space="0" w:color="auto"/>
        <w:right w:val="none" w:sz="0" w:space="0" w:color="auto"/>
      </w:divBdr>
    </w:div>
    <w:div w:id="1910725024">
      <w:bodyDiv w:val="1"/>
      <w:marLeft w:val="0"/>
      <w:marRight w:val="0"/>
      <w:marTop w:val="0"/>
      <w:marBottom w:val="0"/>
      <w:divBdr>
        <w:top w:val="none" w:sz="0" w:space="0" w:color="auto"/>
        <w:left w:val="none" w:sz="0" w:space="0" w:color="auto"/>
        <w:bottom w:val="none" w:sz="0" w:space="0" w:color="auto"/>
        <w:right w:val="none" w:sz="0" w:space="0" w:color="auto"/>
      </w:divBdr>
    </w:div>
    <w:div w:id="1932468763">
      <w:bodyDiv w:val="1"/>
      <w:marLeft w:val="0"/>
      <w:marRight w:val="0"/>
      <w:marTop w:val="0"/>
      <w:marBottom w:val="0"/>
      <w:divBdr>
        <w:top w:val="none" w:sz="0" w:space="0" w:color="auto"/>
        <w:left w:val="none" w:sz="0" w:space="0" w:color="auto"/>
        <w:bottom w:val="none" w:sz="0" w:space="0" w:color="auto"/>
        <w:right w:val="none" w:sz="0" w:space="0" w:color="auto"/>
      </w:divBdr>
    </w:div>
    <w:div w:id="1987779041">
      <w:bodyDiv w:val="1"/>
      <w:marLeft w:val="0"/>
      <w:marRight w:val="0"/>
      <w:marTop w:val="0"/>
      <w:marBottom w:val="0"/>
      <w:divBdr>
        <w:top w:val="none" w:sz="0" w:space="0" w:color="auto"/>
        <w:left w:val="none" w:sz="0" w:space="0" w:color="auto"/>
        <w:bottom w:val="none" w:sz="0" w:space="0" w:color="auto"/>
        <w:right w:val="none" w:sz="0" w:space="0" w:color="auto"/>
      </w:divBdr>
    </w:div>
    <w:div w:id="1997224779">
      <w:bodyDiv w:val="1"/>
      <w:marLeft w:val="0"/>
      <w:marRight w:val="0"/>
      <w:marTop w:val="0"/>
      <w:marBottom w:val="0"/>
      <w:divBdr>
        <w:top w:val="none" w:sz="0" w:space="0" w:color="auto"/>
        <w:left w:val="none" w:sz="0" w:space="0" w:color="auto"/>
        <w:bottom w:val="none" w:sz="0" w:space="0" w:color="auto"/>
        <w:right w:val="none" w:sz="0" w:space="0" w:color="auto"/>
      </w:divBdr>
    </w:div>
    <w:div w:id="2005664603">
      <w:bodyDiv w:val="1"/>
      <w:marLeft w:val="0"/>
      <w:marRight w:val="0"/>
      <w:marTop w:val="0"/>
      <w:marBottom w:val="0"/>
      <w:divBdr>
        <w:top w:val="none" w:sz="0" w:space="0" w:color="auto"/>
        <w:left w:val="none" w:sz="0" w:space="0" w:color="auto"/>
        <w:bottom w:val="none" w:sz="0" w:space="0" w:color="auto"/>
        <w:right w:val="none" w:sz="0" w:space="0" w:color="auto"/>
      </w:divBdr>
    </w:div>
    <w:div w:id="2015187763">
      <w:bodyDiv w:val="1"/>
      <w:marLeft w:val="0"/>
      <w:marRight w:val="0"/>
      <w:marTop w:val="0"/>
      <w:marBottom w:val="0"/>
      <w:divBdr>
        <w:top w:val="none" w:sz="0" w:space="0" w:color="auto"/>
        <w:left w:val="none" w:sz="0" w:space="0" w:color="auto"/>
        <w:bottom w:val="none" w:sz="0" w:space="0" w:color="auto"/>
        <w:right w:val="none" w:sz="0" w:space="0" w:color="auto"/>
      </w:divBdr>
    </w:div>
    <w:div w:id="2057579525">
      <w:bodyDiv w:val="1"/>
      <w:marLeft w:val="0"/>
      <w:marRight w:val="0"/>
      <w:marTop w:val="0"/>
      <w:marBottom w:val="0"/>
      <w:divBdr>
        <w:top w:val="none" w:sz="0" w:space="0" w:color="auto"/>
        <w:left w:val="none" w:sz="0" w:space="0" w:color="auto"/>
        <w:bottom w:val="none" w:sz="0" w:space="0" w:color="auto"/>
        <w:right w:val="none" w:sz="0" w:space="0" w:color="auto"/>
      </w:divBdr>
    </w:div>
    <w:div w:id="2084327782">
      <w:bodyDiv w:val="1"/>
      <w:marLeft w:val="0"/>
      <w:marRight w:val="0"/>
      <w:marTop w:val="0"/>
      <w:marBottom w:val="0"/>
      <w:divBdr>
        <w:top w:val="none" w:sz="0" w:space="0" w:color="auto"/>
        <w:left w:val="none" w:sz="0" w:space="0" w:color="auto"/>
        <w:bottom w:val="none" w:sz="0" w:space="0" w:color="auto"/>
        <w:right w:val="none" w:sz="0" w:space="0" w:color="auto"/>
      </w:divBdr>
    </w:div>
    <w:div w:id="2124496328">
      <w:bodyDiv w:val="1"/>
      <w:marLeft w:val="0"/>
      <w:marRight w:val="0"/>
      <w:marTop w:val="0"/>
      <w:marBottom w:val="0"/>
      <w:divBdr>
        <w:top w:val="none" w:sz="0" w:space="0" w:color="auto"/>
        <w:left w:val="none" w:sz="0" w:space="0" w:color="auto"/>
        <w:bottom w:val="none" w:sz="0" w:space="0" w:color="auto"/>
        <w:right w:val="none" w:sz="0" w:space="0" w:color="auto"/>
      </w:divBdr>
    </w:div>
    <w:div w:id="2128158200">
      <w:bodyDiv w:val="1"/>
      <w:marLeft w:val="0"/>
      <w:marRight w:val="0"/>
      <w:marTop w:val="0"/>
      <w:marBottom w:val="0"/>
      <w:divBdr>
        <w:top w:val="none" w:sz="0" w:space="0" w:color="auto"/>
        <w:left w:val="none" w:sz="0" w:space="0" w:color="auto"/>
        <w:bottom w:val="none" w:sz="0" w:space="0" w:color="auto"/>
        <w:right w:val="none" w:sz="0" w:space="0" w:color="auto"/>
      </w:divBdr>
    </w:div>
    <w:div w:id="2132816107">
      <w:bodyDiv w:val="1"/>
      <w:marLeft w:val="0"/>
      <w:marRight w:val="0"/>
      <w:marTop w:val="0"/>
      <w:marBottom w:val="0"/>
      <w:divBdr>
        <w:top w:val="none" w:sz="0" w:space="0" w:color="auto"/>
        <w:left w:val="none" w:sz="0" w:space="0" w:color="auto"/>
        <w:bottom w:val="none" w:sz="0" w:space="0" w:color="auto"/>
        <w:right w:val="none" w:sz="0" w:space="0" w:color="auto"/>
      </w:divBdr>
    </w:div>
    <w:div w:id="2139909231">
      <w:bodyDiv w:val="1"/>
      <w:marLeft w:val="0"/>
      <w:marRight w:val="0"/>
      <w:marTop w:val="0"/>
      <w:marBottom w:val="0"/>
      <w:divBdr>
        <w:top w:val="none" w:sz="0" w:space="0" w:color="auto"/>
        <w:left w:val="none" w:sz="0" w:space="0" w:color="auto"/>
        <w:bottom w:val="none" w:sz="0" w:space="0" w:color="auto"/>
        <w:right w:val="none" w:sz="0" w:space="0" w:color="auto"/>
      </w:divBdr>
    </w:div>
    <w:div w:id="214434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AECDD6FFA29E4A8E647D38FC4B4E50" ma:contentTypeVersion="14" ma:contentTypeDescription="Create a new document." ma:contentTypeScope="" ma:versionID="6c2a0d835e420425f3d4c31940931e50">
  <xsd:schema xmlns:xsd="http://www.w3.org/2001/XMLSchema" xmlns:xs="http://www.w3.org/2001/XMLSchema" xmlns:p="http://schemas.microsoft.com/office/2006/metadata/properties" xmlns:ns3="b2ddea07-a566-44b4-8379-4cee4a251420" xmlns:ns4="a0bff12a-905a-4663-8799-c3b92e8d4b9f" targetNamespace="http://schemas.microsoft.com/office/2006/metadata/properties" ma:root="true" ma:fieldsID="0e7cd7118a51a0544d8bd59f446ced5e" ns3:_="" ns4:_="">
    <xsd:import namespace="b2ddea07-a566-44b4-8379-4cee4a251420"/>
    <xsd:import namespace="a0bff12a-905a-4663-8799-c3b92e8d4b9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dea07-a566-44b4-8379-4cee4a251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bff12a-905a-4663-8799-c3b92e8d4b9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0C6CB4-5066-4EE1-AF8D-787A3735D658}">
  <ds:schemaRefs>
    <ds:schemaRef ds:uri="http://schemas.microsoft.com/sharepoint/v3/contenttype/forms"/>
  </ds:schemaRefs>
</ds:datastoreItem>
</file>

<file path=customXml/itemProps2.xml><?xml version="1.0" encoding="utf-8"?>
<ds:datastoreItem xmlns:ds="http://schemas.openxmlformats.org/officeDocument/2006/customXml" ds:itemID="{A67FFC92-39D4-4FC7-996B-D87376BC8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dea07-a566-44b4-8379-4cee4a251420"/>
    <ds:schemaRef ds:uri="a0bff12a-905a-4663-8799-c3b92e8d4b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789A19-F3A5-4CC4-86C5-8CBEC4887B47}">
  <ds:schemaRefs>
    <ds:schemaRef ds:uri="http://schemas.openxmlformats.org/officeDocument/2006/bibliography"/>
  </ds:schemaRefs>
</ds:datastoreItem>
</file>

<file path=customXml/itemProps4.xml><?xml version="1.0" encoding="utf-8"?>
<ds:datastoreItem xmlns:ds="http://schemas.openxmlformats.org/officeDocument/2006/customXml" ds:itemID="{A541F3FC-E1E3-454E-BDA5-7DF4192276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1853</Words>
  <Characters>10563</Characters>
  <Application>Microsoft Office Word</Application>
  <DocSecurity>0</DocSecurity>
  <Lines>88</Lines>
  <Paragraphs>24</Paragraphs>
  <ScaleCrop>false</ScaleCrop>
  <HeadingPairs>
    <vt:vector size="6" baseType="variant">
      <vt:variant>
        <vt:lpstr>Title</vt:lpstr>
      </vt:variant>
      <vt:variant>
        <vt:i4>1</vt:i4>
      </vt:variant>
      <vt:variant>
        <vt:lpstr>Название</vt:lpstr>
      </vt:variant>
      <vt:variant>
        <vt:i4>1</vt:i4>
      </vt:variant>
      <vt:variant>
        <vt:lpstr>Název</vt:lpstr>
      </vt:variant>
      <vt:variant>
        <vt:i4>1</vt:i4>
      </vt:variant>
    </vt:vector>
  </HeadingPairs>
  <TitlesOfParts>
    <vt:vector size="3" baseType="lpstr">
      <vt:lpstr/>
      <vt:lpstr/>
      <vt:lpstr/>
    </vt:vector>
  </TitlesOfParts>
  <Company/>
  <LinksUpToDate>false</LinksUpToDate>
  <CharactersWithSpaces>12392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Svante Cornell</dc:creator>
  <cp:lastModifiedBy>Hurwitz, Ava Katherine</cp:lastModifiedBy>
  <cp:revision>2</cp:revision>
  <cp:lastPrinted>2026-02-05T15:09:00Z</cp:lastPrinted>
  <dcterms:created xsi:type="dcterms:W3CDTF">2026-04-30T14:57:00Z</dcterms:created>
  <dcterms:modified xsi:type="dcterms:W3CDTF">2026-04-30T14:57:00Z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0x0101003EAECDD6FFA29E4A8E647D38FC4B4E50</vt:lpwstr>
  </property>
  <property fmtid="{D5CDD505-2E9C-101B-9397-08002B2CF9AE}" pid="3" name="GrammarlyDocumentId">
    <vt:lpwstr>f05f86dd3aae27bf0c484c3d843628f46fc6d4c516b53927d10a27e113d50b91</vt:lpwstr>
  </property>
</Properties>
</file>