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B2DADBA" w:rsidR="00BF2ADF" w:rsidRPr="00A2210F" w:rsidRDefault="00CD03FE" w:rsidP="00CD03FE">
      <w:pPr>
        <w:spacing w:line="240" w:lineRule="auto"/>
        <w:rPr>
          <w:rFonts w:ascii="Verdana" w:eastAsia="Times New Roman" w:hAnsi="Verdana" w:cs="Times New Roman"/>
          <w:b/>
          <w:bCs/>
          <w:sz w:val="20"/>
          <w:szCs w:val="20"/>
        </w:rPr>
      </w:pPr>
      <w:r w:rsidRPr="00A2210F">
        <w:rPr>
          <w:rFonts w:ascii="Verdana" w:eastAsia="Times New Roman" w:hAnsi="Verdana" w:cs="Times New Roman"/>
          <w:b/>
          <w:bCs/>
          <w:sz w:val="20"/>
          <w:szCs w:val="20"/>
        </w:rPr>
        <w:t>LEARNING FROM CENTRAL ASIA: REGIONALIZATION PROSPECTS IN THE SOUTH CAUCASUS</w:t>
      </w:r>
    </w:p>
    <w:p w14:paraId="26744270" w14:textId="770647DA" w:rsidR="00541473" w:rsidRPr="00A2210F" w:rsidRDefault="00541473" w:rsidP="00CD03FE">
      <w:pPr>
        <w:spacing w:line="240" w:lineRule="auto"/>
        <w:rPr>
          <w:rFonts w:ascii="Verdana" w:eastAsia="Times New Roman" w:hAnsi="Verdana" w:cs="Times New Roman"/>
          <w:sz w:val="20"/>
          <w:szCs w:val="20"/>
        </w:rPr>
      </w:pPr>
      <w:r w:rsidRPr="00A2210F">
        <w:rPr>
          <w:rFonts w:ascii="Verdana" w:eastAsia="Times New Roman" w:hAnsi="Verdana" w:cs="Times New Roman"/>
          <w:sz w:val="20"/>
          <w:szCs w:val="20"/>
        </w:rPr>
        <w:t>Eldaniz Gusseinov</w:t>
      </w:r>
    </w:p>
    <w:p w14:paraId="51205C38" w14:textId="3C504B02" w:rsidR="00541473" w:rsidRPr="00A2210F" w:rsidRDefault="00541473" w:rsidP="00CD03FE">
      <w:pPr>
        <w:spacing w:line="240" w:lineRule="auto"/>
        <w:rPr>
          <w:rFonts w:ascii="Verdana" w:eastAsia="Times New Roman" w:hAnsi="Verdana" w:cs="Times New Roman"/>
          <w:sz w:val="20"/>
          <w:szCs w:val="20"/>
          <w:highlight w:val="yellow"/>
        </w:rPr>
      </w:pPr>
      <w:r w:rsidRPr="00A2210F">
        <w:rPr>
          <w:rFonts w:ascii="Verdana" w:eastAsia="Times New Roman" w:hAnsi="Verdana" w:cs="Times New Roman"/>
          <w:sz w:val="20"/>
          <w:szCs w:val="20"/>
        </w:rPr>
        <w:t>Sardor Allayarov</w:t>
      </w:r>
    </w:p>
    <w:p w14:paraId="337A1801" w14:textId="3783071A" w:rsidR="00CC1788" w:rsidRPr="00CC1788" w:rsidRDefault="00CC1788" w:rsidP="00CC1788">
      <w:pPr>
        <w:spacing w:line="240" w:lineRule="auto"/>
        <w:rPr>
          <w:rFonts w:ascii="Verdana" w:eastAsia="Times New Roman" w:hAnsi="Verdana" w:cs="Times New Roman"/>
          <w:sz w:val="20"/>
          <w:szCs w:val="20"/>
          <w:lang w:val="en-US"/>
        </w:rPr>
      </w:pPr>
      <w:r w:rsidRPr="00CC1788">
        <w:rPr>
          <w:rFonts w:ascii="Verdana" w:eastAsia="Times New Roman" w:hAnsi="Verdana" w:cs="Times New Roman"/>
          <w:sz w:val="20"/>
          <w:szCs w:val="20"/>
          <w:lang w:val="en-US"/>
        </w:rPr>
        <w:t xml:space="preserve">Following the conclusion of a peace treaty between Azerbaijan and Armenia, three key trends are likely to shape the South Caucasus within broader global geoeconomic processes. </w:t>
      </w:r>
      <w:r w:rsidR="00994B37">
        <w:rPr>
          <w:rFonts w:ascii="Verdana" w:eastAsia="Times New Roman" w:hAnsi="Verdana" w:cs="Times New Roman"/>
          <w:sz w:val="20"/>
          <w:szCs w:val="20"/>
          <w:lang w:val="en-US"/>
        </w:rPr>
        <w:t>Peace between Armenia and Azerbaijan</w:t>
      </w:r>
      <w:r w:rsidRPr="00CC1788">
        <w:rPr>
          <w:rFonts w:ascii="Verdana" w:eastAsia="Times New Roman" w:hAnsi="Verdana" w:cs="Times New Roman"/>
          <w:sz w:val="20"/>
          <w:szCs w:val="20"/>
          <w:lang w:val="en-US"/>
        </w:rPr>
        <w:t xml:space="preserve"> may facilitate the emergence of the South Caucasus as a more integrated regional entity, rather than three distinct states occupying a shared geographic space. The region’s future can be understood through three interrelated dynamics: the expansion of overland infrastructure, intensified competition for markets, and increasing complexity in its geoeconomic architecture.</w:t>
      </w:r>
    </w:p>
    <w:p w14:paraId="2F20D0F5" w14:textId="6FA9DE59" w:rsidR="00D326C7" w:rsidRPr="00D326C7" w:rsidRDefault="00186C4A" w:rsidP="00D326C7">
      <w:pPr>
        <w:spacing w:line="240" w:lineRule="auto"/>
        <w:rPr>
          <w:rFonts w:ascii="Verdana" w:eastAsia="Times New Roman" w:hAnsi="Verdana" w:cs="Times New Roman"/>
          <w:sz w:val="20"/>
          <w:szCs w:val="20"/>
          <w:lang w:val="en-US"/>
        </w:rPr>
      </w:pPr>
      <w:r w:rsidRPr="00A2210F">
        <w:rPr>
          <w:rFonts w:ascii="Verdana" w:eastAsia="Times New Roman" w:hAnsi="Verdana" w:cs="Times New Roman"/>
          <w:b/>
          <w:bCs/>
          <w:sz w:val="20"/>
          <w:szCs w:val="20"/>
        </w:rPr>
        <w:t xml:space="preserve">BACKGROUND: </w:t>
      </w:r>
      <w:r w:rsidR="00583701" w:rsidRPr="00D326C7">
        <w:rPr>
          <w:rFonts w:ascii="Verdana" w:eastAsia="Times New Roman" w:hAnsi="Verdana" w:cs="Times New Roman"/>
          <w:sz w:val="20"/>
          <w:szCs w:val="20"/>
          <w:lang w:val="en-US"/>
        </w:rPr>
        <w:t>An</w:t>
      </w:r>
      <w:r w:rsidR="00D326C7" w:rsidRPr="00D326C7">
        <w:rPr>
          <w:rFonts w:ascii="Verdana" w:eastAsia="Times New Roman" w:hAnsi="Verdana" w:cs="Times New Roman"/>
          <w:sz w:val="20"/>
          <w:szCs w:val="20"/>
          <w:lang w:val="en-US"/>
        </w:rPr>
        <w:t xml:space="preserve"> </w:t>
      </w:r>
      <w:r w:rsidR="00E814AC" w:rsidRPr="00E814AC">
        <w:rPr>
          <w:rFonts w:ascii="Verdana" w:eastAsia="Times New Roman" w:hAnsi="Verdana" w:cs="Times New Roman"/>
          <w:sz w:val="20"/>
          <w:szCs w:val="20"/>
        </w:rPr>
        <w:t>initialed</w:t>
      </w:r>
      <w:r w:rsidR="00994B37" w:rsidRPr="00994B37">
        <w:rPr>
          <w:rFonts w:ascii="Verdana" w:eastAsia="Times New Roman" w:hAnsi="Verdana" w:cs="Times New Roman"/>
          <w:sz w:val="20"/>
          <w:szCs w:val="20"/>
          <w:lang w:val="en-US"/>
        </w:rPr>
        <w:t xml:space="preserve"> </w:t>
      </w:r>
      <w:r w:rsidR="00D326C7" w:rsidRPr="00D326C7">
        <w:rPr>
          <w:rFonts w:ascii="Verdana" w:eastAsia="Times New Roman" w:hAnsi="Verdana" w:cs="Times New Roman"/>
          <w:sz w:val="20"/>
          <w:szCs w:val="20"/>
          <w:lang w:val="en-US"/>
        </w:rPr>
        <w:t xml:space="preserve">peace agreement between Armenia and Azerbaijan, </w:t>
      </w:r>
      <w:r w:rsidR="00583701">
        <w:rPr>
          <w:rFonts w:ascii="Verdana" w:eastAsia="Times New Roman" w:hAnsi="Verdana" w:cs="Times New Roman"/>
          <w:sz w:val="20"/>
          <w:szCs w:val="20"/>
          <w:lang w:val="en-US"/>
        </w:rPr>
        <w:t>which was announced</w:t>
      </w:r>
      <w:r w:rsidR="00D326C7" w:rsidRPr="00D326C7">
        <w:rPr>
          <w:rFonts w:ascii="Verdana" w:eastAsia="Times New Roman" w:hAnsi="Verdana" w:cs="Times New Roman"/>
          <w:sz w:val="20"/>
          <w:szCs w:val="20"/>
          <w:lang w:val="en-US"/>
        </w:rPr>
        <w:t xml:space="preserve"> on August 8, 2025, under U.S. mediation, formally ended the protracted conflict and aimed to normalize bilateral relations. Despite sharing a common geographic space, the South Caucasus states differ markedly in their political, economic, and security orientations, which has historically constrained regional integration. Armenia is a member of the </w:t>
      </w:r>
      <w:r w:rsidR="00D326C7" w:rsidRPr="00A2210F">
        <w:rPr>
          <w:rFonts w:ascii="Verdana" w:eastAsia="Times New Roman" w:hAnsi="Verdana" w:cs="Times New Roman"/>
          <w:sz w:val="20"/>
          <w:szCs w:val="20"/>
          <w:lang w:val="en-US"/>
        </w:rPr>
        <w:t>Eurasian Economic Union (</w:t>
      </w:r>
      <w:r w:rsidR="00D326C7" w:rsidRPr="00D326C7">
        <w:rPr>
          <w:rFonts w:ascii="Verdana" w:eastAsia="Times New Roman" w:hAnsi="Verdana" w:cs="Times New Roman"/>
          <w:sz w:val="20"/>
          <w:szCs w:val="20"/>
          <w:lang w:val="en-US"/>
        </w:rPr>
        <w:t>EAEU</w:t>
      </w:r>
      <w:r w:rsidR="00D326C7" w:rsidRPr="00A2210F">
        <w:rPr>
          <w:rFonts w:ascii="Verdana" w:eastAsia="Times New Roman" w:hAnsi="Verdana" w:cs="Times New Roman"/>
          <w:sz w:val="20"/>
          <w:szCs w:val="20"/>
          <w:lang w:val="en-US"/>
        </w:rPr>
        <w:t>)</w:t>
      </w:r>
      <w:r w:rsidR="00D326C7" w:rsidRPr="00D326C7">
        <w:rPr>
          <w:rFonts w:ascii="Verdana" w:eastAsia="Times New Roman" w:hAnsi="Verdana" w:cs="Times New Roman"/>
          <w:sz w:val="20"/>
          <w:szCs w:val="20"/>
          <w:lang w:val="en-US"/>
        </w:rPr>
        <w:t xml:space="preserve"> and the </w:t>
      </w:r>
      <w:r w:rsidR="00794643" w:rsidRPr="00A2210F">
        <w:rPr>
          <w:rFonts w:ascii="Verdana" w:eastAsia="Times New Roman" w:hAnsi="Verdana" w:cs="Times New Roman"/>
          <w:sz w:val="20"/>
          <w:szCs w:val="20"/>
          <w:lang w:val="en-US"/>
        </w:rPr>
        <w:t>Collective Security Treaty Organization (</w:t>
      </w:r>
      <w:r w:rsidR="00D326C7" w:rsidRPr="00D326C7">
        <w:rPr>
          <w:rFonts w:ascii="Verdana" w:eastAsia="Times New Roman" w:hAnsi="Verdana" w:cs="Times New Roman"/>
          <w:sz w:val="20"/>
          <w:szCs w:val="20"/>
          <w:lang w:val="en-US"/>
        </w:rPr>
        <w:t>CSTO</w:t>
      </w:r>
      <w:r w:rsidR="00794643" w:rsidRPr="00A2210F">
        <w:rPr>
          <w:rFonts w:ascii="Verdana" w:eastAsia="Times New Roman" w:hAnsi="Verdana" w:cs="Times New Roman"/>
          <w:sz w:val="20"/>
          <w:szCs w:val="20"/>
          <w:lang w:val="en-US"/>
        </w:rPr>
        <w:t>)</w:t>
      </w:r>
      <w:r w:rsidR="00D326C7" w:rsidRPr="00D326C7">
        <w:rPr>
          <w:rFonts w:ascii="Verdana" w:eastAsia="Times New Roman" w:hAnsi="Verdana" w:cs="Times New Roman"/>
          <w:sz w:val="20"/>
          <w:szCs w:val="20"/>
          <w:lang w:val="en-US"/>
        </w:rPr>
        <w:t xml:space="preserve"> while simultaneously expressing aspirations for EU membership. Georgia has maintained a broadly pro-Western orientation, though less pronounced than in the past, whereas Azerbaijan prioritizes integration within the Organization of Turkic States. At the same time, both Armenia and Azerbaijan have expressed interest in joining the SCO. Additionally, Azerbaijan has attained permanent status among the consultative </w:t>
      </w:r>
      <w:r w:rsidR="00234930" w:rsidRPr="00A2210F">
        <w:rPr>
          <w:rFonts w:ascii="Verdana" w:eastAsia="Times New Roman" w:hAnsi="Verdana" w:cs="Times New Roman"/>
          <w:sz w:val="20"/>
          <w:szCs w:val="20"/>
          <w:lang w:val="en-US"/>
        </w:rPr>
        <w:t xml:space="preserve">meetings </w:t>
      </w:r>
      <w:r w:rsidR="00D326C7" w:rsidRPr="00D326C7">
        <w:rPr>
          <w:rFonts w:ascii="Verdana" w:eastAsia="Times New Roman" w:hAnsi="Verdana" w:cs="Times New Roman"/>
          <w:sz w:val="20"/>
          <w:szCs w:val="20"/>
          <w:lang w:val="en-US"/>
        </w:rPr>
        <w:t xml:space="preserve">of </w:t>
      </w:r>
      <w:r w:rsidR="001904C8" w:rsidRPr="00A2210F">
        <w:rPr>
          <w:rFonts w:ascii="Verdana" w:eastAsia="Times New Roman" w:hAnsi="Verdana" w:cs="Times New Roman"/>
          <w:sz w:val="20"/>
          <w:szCs w:val="20"/>
          <w:lang w:val="en-US"/>
        </w:rPr>
        <w:t xml:space="preserve">the </w:t>
      </w:r>
      <w:r w:rsidR="00D326C7" w:rsidRPr="00D326C7">
        <w:rPr>
          <w:rFonts w:ascii="Verdana" w:eastAsia="Times New Roman" w:hAnsi="Verdana" w:cs="Times New Roman"/>
          <w:sz w:val="20"/>
          <w:szCs w:val="20"/>
          <w:lang w:val="en-US"/>
        </w:rPr>
        <w:t xml:space="preserve">Central Asian </w:t>
      </w:r>
      <w:r w:rsidR="001904C8" w:rsidRPr="00A2210F">
        <w:rPr>
          <w:rFonts w:ascii="Verdana" w:eastAsia="Times New Roman" w:hAnsi="Verdana" w:cs="Times New Roman"/>
          <w:sz w:val="20"/>
          <w:szCs w:val="20"/>
          <w:lang w:val="en-US"/>
        </w:rPr>
        <w:t xml:space="preserve">heads of states. </w:t>
      </w:r>
    </w:p>
    <w:p w14:paraId="3DAB6626" w14:textId="705EADEB" w:rsidR="007850CD" w:rsidRPr="007850CD" w:rsidRDefault="007850CD" w:rsidP="007850CD">
      <w:pPr>
        <w:spacing w:line="240" w:lineRule="auto"/>
        <w:rPr>
          <w:rFonts w:ascii="Verdana" w:eastAsia="Times New Roman" w:hAnsi="Verdana" w:cs="Times New Roman"/>
          <w:sz w:val="20"/>
          <w:szCs w:val="20"/>
          <w:lang w:val="en-US"/>
        </w:rPr>
      </w:pPr>
      <w:r w:rsidRPr="007850CD">
        <w:rPr>
          <w:rFonts w:ascii="Verdana" w:eastAsia="Times New Roman" w:hAnsi="Verdana" w:cs="Times New Roman"/>
          <w:sz w:val="20"/>
          <w:szCs w:val="20"/>
          <w:lang w:val="en-US"/>
        </w:rPr>
        <w:t xml:space="preserve">Similar processes </w:t>
      </w:r>
      <w:r w:rsidRPr="00A2210F">
        <w:rPr>
          <w:rFonts w:ascii="Verdana" w:eastAsia="Times New Roman" w:hAnsi="Verdana" w:cs="Times New Roman"/>
          <w:sz w:val="20"/>
          <w:szCs w:val="20"/>
          <w:lang w:val="en-US"/>
        </w:rPr>
        <w:t xml:space="preserve">can be </w:t>
      </w:r>
      <w:r w:rsidRPr="007850CD">
        <w:rPr>
          <w:rFonts w:ascii="Verdana" w:eastAsia="Times New Roman" w:hAnsi="Verdana" w:cs="Times New Roman"/>
          <w:sz w:val="20"/>
          <w:szCs w:val="20"/>
          <w:lang w:val="en-US"/>
        </w:rPr>
        <w:t>observed in Central Asia, where the resolution of several border disputes enabled intensified cooperation through the integration of transport routes and energy hubs. Comparable developments may emerge in the South Caucasus, as border openings are likely to necessitate infrastructure expansion, followed by the harmonization of tariffs and customs procedures.</w:t>
      </w:r>
    </w:p>
    <w:p w14:paraId="345BA485" w14:textId="48A67C6A" w:rsidR="00152DC1" w:rsidRPr="00152DC1" w:rsidRDefault="00186C4A" w:rsidP="00152DC1">
      <w:pPr>
        <w:spacing w:line="240" w:lineRule="auto"/>
        <w:rPr>
          <w:rFonts w:ascii="Verdana" w:eastAsia="Times New Roman" w:hAnsi="Verdana" w:cs="Times New Roman"/>
          <w:sz w:val="20"/>
          <w:szCs w:val="20"/>
          <w:lang w:val="en-US"/>
        </w:rPr>
      </w:pPr>
      <w:r w:rsidRPr="00A2210F">
        <w:rPr>
          <w:rFonts w:ascii="Verdana" w:eastAsia="Times New Roman" w:hAnsi="Verdana" w:cs="Times New Roman"/>
          <w:b/>
          <w:bCs/>
          <w:sz w:val="20"/>
          <w:szCs w:val="20"/>
        </w:rPr>
        <w:t xml:space="preserve">IMPLICATIONS: </w:t>
      </w:r>
      <w:r w:rsidR="00152DC1" w:rsidRPr="00152DC1">
        <w:rPr>
          <w:rFonts w:ascii="Verdana" w:eastAsia="Times New Roman" w:hAnsi="Verdana" w:cs="Times New Roman"/>
          <w:sz w:val="20"/>
          <w:szCs w:val="20"/>
          <w:lang w:val="en-US"/>
        </w:rPr>
        <w:t xml:space="preserve">At the initial stage, the institutionalization of meeting formats among South Caucasus leaders is likely to occur, both within a trilateral framework and through </w:t>
      </w:r>
      <w:r w:rsidR="004C7FC9" w:rsidRPr="00A2210F">
        <w:rPr>
          <w:rFonts w:ascii="Verdana" w:eastAsia="Times New Roman" w:hAnsi="Verdana" w:cs="Times New Roman"/>
          <w:sz w:val="20"/>
          <w:szCs w:val="20"/>
          <w:lang w:val="en-US"/>
        </w:rPr>
        <w:t xml:space="preserve">a </w:t>
      </w:r>
      <w:r w:rsidR="00152DC1" w:rsidRPr="00152DC1">
        <w:rPr>
          <w:rFonts w:ascii="Verdana" w:eastAsia="Times New Roman" w:hAnsi="Verdana" w:cs="Times New Roman"/>
          <w:sz w:val="20"/>
          <w:szCs w:val="20"/>
          <w:lang w:val="en-US"/>
        </w:rPr>
        <w:t>3+3 format involving other key regional actors. The Central Asia–South Caucasus format also appears promising, as the two regions are increasingly interconnected through the development of transport corridors.</w:t>
      </w:r>
    </w:p>
    <w:p w14:paraId="4526CB30" w14:textId="77777777" w:rsidR="00FD776F" w:rsidRPr="00A2210F" w:rsidRDefault="00F61CE4" w:rsidP="00F61CE4">
      <w:pPr>
        <w:spacing w:line="240" w:lineRule="auto"/>
        <w:rPr>
          <w:rFonts w:ascii="Verdana" w:eastAsia="Times New Roman" w:hAnsi="Verdana" w:cs="Times New Roman"/>
          <w:sz w:val="20"/>
          <w:szCs w:val="20"/>
          <w:lang w:val="en-US"/>
        </w:rPr>
      </w:pPr>
      <w:r w:rsidRPr="00F61CE4">
        <w:rPr>
          <w:rFonts w:ascii="Verdana" w:eastAsia="Times New Roman" w:hAnsi="Verdana" w:cs="Times New Roman"/>
          <w:sz w:val="20"/>
          <w:szCs w:val="20"/>
          <w:lang w:val="en-US"/>
        </w:rPr>
        <w:t xml:space="preserve">The first trend is the growing demand for overland transport corridors driven by </w:t>
      </w:r>
      <w:r w:rsidR="00FA1D4D" w:rsidRPr="00A2210F">
        <w:rPr>
          <w:rFonts w:ascii="Verdana" w:eastAsia="Times New Roman" w:hAnsi="Verdana" w:cs="Times New Roman"/>
          <w:sz w:val="20"/>
          <w:szCs w:val="20"/>
          <w:lang w:val="en-US"/>
        </w:rPr>
        <w:t xml:space="preserve">increased </w:t>
      </w:r>
      <w:r w:rsidRPr="00F61CE4">
        <w:rPr>
          <w:rFonts w:ascii="Verdana" w:eastAsia="Times New Roman" w:hAnsi="Verdana" w:cs="Times New Roman"/>
          <w:sz w:val="20"/>
          <w:szCs w:val="20"/>
          <w:lang w:val="en-US"/>
        </w:rPr>
        <w:t xml:space="preserve">tensions between China and the </w:t>
      </w:r>
      <w:r w:rsidR="00FA1D4D" w:rsidRPr="00A2210F">
        <w:rPr>
          <w:rFonts w:ascii="Verdana" w:eastAsia="Times New Roman" w:hAnsi="Verdana" w:cs="Times New Roman"/>
          <w:sz w:val="20"/>
          <w:szCs w:val="20"/>
          <w:lang w:val="en-US"/>
        </w:rPr>
        <w:t xml:space="preserve">U.S. </w:t>
      </w:r>
      <w:r w:rsidRPr="00F61CE4">
        <w:rPr>
          <w:rFonts w:ascii="Verdana" w:eastAsia="Times New Roman" w:hAnsi="Verdana" w:cs="Times New Roman"/>
          <w:sz w:val="20"/>
          <w:szCs w:val="20"/>
          <w:lang w:val="en-US"/>
        </w:rPr>
        <w:t>Following significant progress in the normalization of Armenian–Azerbaijani relations, the South Caucasus</w:t>
      </w:r>
      <w:r w:rsidR="00FA1D4D" w:rsidRPr="00A2210F">
        <w:rPr>
          <w:rFonts w:ascii="Verdana" w:eastAsia="Times New Roman" w:hAnsi="Verdana" w:cs="Times New Roman"/>
          <w:sz w:val="20"/>
          <w:szCs w:val="20"/>
          <w:lang w:val="en-US"/>
        </w:rPr>
        <w:t xml:space="preserve">, </w:t>
      </w:r>
      <w:r w:rsidRPr="00F61CE4">
        <w:rPr>
          <w:rFonts w:ascii="Verdana" w:eastAsia="Times New Roman" w:hAnsi="Verdana" w:cs="Times New Roman"/>
          <w:sz w:val="20"/>
          <w:szCs w:val="20"/>
          <w:lang w:val="en-US"/>
        </w:rPr>
        <w:t>together with Central Asia</w:t>
      </w:r>
      <w:r w:rsidR="00FA1D4D" w:rsidRPr="00A2210F">
        <w:rPr>
          <w:rFonts w:ascii="Verdana" w:eastAsia="Times New Roman" w:hAnsi="Verdana" w:cs="Times New Roman"/>
          <w:sz w:val="20"/>
          <w:szCs w:val="20"/>
          <w:lang w:val="en-US"/>
        </w:rPr>
        <w:t xml:space="preserve">, </w:t>
      </w:r>
      <w:r w:rsidRPr="00F61CE4">
        <w:rPr>
          <w:rFonts w:ascii="Verdana" w:eastAsia="Times New Roman" w:hAnsi="Verdana" w:cs="Times New Roman"/>
          <w:sz w:val="20"/>
          <w:szCs w:val="20"/>
          <w:lang w:val="en-US"/>
        </w:rPr>
        <w:t xml:space="preserve">is likely to be perceived by Beijing as a relatively stable region for investment. In Central Asia, the development of overland routes is already well advanced. Kazakhstan, for example, has launched the second track of the 836-km </w:t>
      </w:r>
      <w:proofErr w:type="spellStart"/>
      <w:r w:rsidRPr="00F61CE4">
        <w:rPr>
          <w:rFonts w:ascii="Verdana" w:eastAsia="Times New Roman" w:hAnsi="Verdana" w:cs="Times New Roman"/>
          <w:sz w:val="20"/>
          <w:szCs w:val="20"/>
          <w:lang w:val="en-US"/>
        </w:rPr>
        <w:t>Dostyk</w:t>
      </w:r>
      <w:proofErr w:type="spellEnd"/>
      <w:r w:rsidRPr="00F61CE4">
        <w:rPr>
          <w:rFonts w:ascii="Verdana" w:eastAsia="Times New Roman" w:hAnsi="Verdana" w:cs="Times New Roman"/>
          <w:sz w:val="20"/>
          <w:szCs w:val="20"/>
          <w:lang w:val="en-US"/>
        </w:rPr>
        <w:t>–</w:t>
      </w:r>
      <w:proofErr w:type="spellStart"/>
      <w:r w:rsidRPr="00F61CE4">
        <w:rPr>
          <w:rFonts w:ascii="Verdana" w:eastAsia="Times New Roman" w:hAnsi="Verdana" w:cs="Times New Roman"/>
          <w:sz w:val="20"/>
          <w:szCs w:val="20"/>
          <w:lang w:val="en-US"/>
        </w:rPr>
        <w:t>Moyinty</w:t>
      </w:r>
      <w:proofErr w:type="spellEnd"/>
      <w:r w:rsidRPr="00F61CE4">
        <w:rPr>
          <w:rFonts w:ascii="Verdana" w:eastAsia="Times New Roman" w:hAnsi="Verdana" w:cs="Times New Roman"/>
          <w:sz w:val="20"/>
          <w:szCs w:val="20"/>
          <w:lang w:val="en-US"/>
        </w:rPr>
        <w:t xml:space="preserve"> railway, increasing capacity fivefold to 60 pairs of trains per day. With a cost of nearly US</w:t>
      </w:r>
      <w:r w:rsidR="00FD54B1" w:rsidRPr="00A2210F">
        <w:rPr>
          <w:rFonts w:ascii="Verdana" w:eastAsia="Times New Roman" w:hAnsi="Verdana" w:cs="Times New Roman"/>
          <w:sz w:val="20"/>
          <w:szCs w:val="20"/>
          <w:lang w:val="en-US"/>
        </w:rPr>
        <w:t>$</w:t>
      </w:r>
      <w:r w:rsidRPr="00F61CE4">
        <w:rPr>
          <w:rFonts w:ascii="Verdana" w:eastAsia="Times New Roman" w:hAnsi="Verdana" w:cs="Times New Roman"/>
          <w:sz w:val="20"/>
          <w:szCs w:val="20"/>
          <w:lang w:val="en-US"/>
        </w:rPr>
        <w:t xml:space="preserve"> 1 billion, it is the largest railway project undertaken since independence and a key enhancement of China–Europe transport connectivity. </w:t>
      </w:r>
    </w:p>
    <w:p w14:paraId="424CD9A3" w14:textId="7C4DC5ED" w:rsidR="00F61CE4" w:rsidRPr="00F61CE4" w:rsidRDefault="00F61CE4" w:rsidP="00F61CE4">
      <w:pPr>
        <w:spacing w:line="240" w:lineRule="auto"/>
        <w:rPr>
          <w:rFonts w:ascii="Verdana" w:eastAsia="Times New Roman" w:hAnsi="Verdana" w:cs="Times New Roman"/>
          <w:sz w:val="20"/>
          <w:szCs w:val="20"/>
          <w:lang w:val="en-US"/>
        </w:rPr>
      </w:pPr>
      <w:r w:rsidRPr="00F61CE4">
        <w:rPr>
          <w:rFonts w:ascii="Verdana" w:eastAsia="Times New Roman" w:hAnsi="Verdana" w:cs="Times New Roman"/>
          <w:sz w:val="20"/>
          <w:szCs w:val="20"/>
          <w:lang w:val="en-US"/>
        </w:rPr>
        <w:t>However, China’s westward transport expansion through Central Asia and the South Caucasus will also underscore the need for enhanced security cooperation. In this context, Beijing may seek deeper engagement within the SCO, potentially conflicting with Georgia’s and Armenia’s aspirations to strengthen cooperation with NATO and with Azerbaijan’s efforts to advance the military dimension of integration within the Organization of Turkic States.</w:t>
      </w:r>
    </w:p>
    <w:p w14:paraId="66B33AA9" w14:textId="3B9ED4DD" w:rsidR="00BD009D" w:rsidRPr="00BD009D" w:rsidRDefault="00BD009D" w:rsidP="00BD009D">
      <w:pPr>
        <w:spacing w:line="240" w:lineRule="auto"/>
        <w:rPr>
          <w:rFonts w:ascii="Verdana" w:eastAsia="Times New Roman" w:hAnsi="Verdana" w:cs="Times New Roman"/>
          <w:sz w:val="20"/>
          <w:szCs w:val="20"/>
          <w:lang w:val="en-US"/>
        </w:rPr>
      </w:pPr>
      <w:r w:rsidRPr="00BD009D">
        <w:rPr>
          <w:rFonts w:ascii="Verdana" w:eastAsia="Times New Roman" w:hAnsi="Verdana" w:cs="Times New Roman"/>
          <w:sz w:val="20"/>
          <w:szCs w:val="20"/>
          <w:lang w:val="en-US"/>
        </w:rPr>
        <w:t>Kazakhstan became the second country after Russia to utilize the opening of transit routes to Armenia via Azerbaijan. The new corridor (Kazakhstan/Russia–Azerbaijan–Georgia–Armenia) reduces logistics costs and enables regular deliveries, with Kazakhstan planning to transport up to 20,000 tons of grain per month.</w:t>
      </w:r>
    </w:p>
    <w:p w14:paraId="2EB09C8A" w14:textId="563929B0" w:rsidR="00DA3574" w:rsidRPr="00DA3574" w:rsidRDefault="00DA3574" w:rsidP="00DA3574">
      <w:pPr>
        <w:spacing w:line="240" w:lineRule="auto"/>
        <w:rPr>
          <w:rFonts w:ascii="Verdana" w:eastAsia="Times New Roman" w:hAnsi="Verdana" w:cs="Times New Roman"/>
          <w:sz w:val="20"/>
          <w:szCs w:val="20"/>
          <w:lang w:val="en-US"/>
        </w:rPr>
      </w:pPr>
      <w:r w:rsidRPr="00DA3574">
        <w:rPr>
          <w:rFonts w:ascii="Verdana" w:eastAsia="Times New Roman" w:hAnsi="Verdana" w:cs="Times New Roman"/>
          <w:sz w:val="20"/>
          <w:szCs w:val="20"/>
          <w:lang w:val="en-US"/>
        </w:rPr>
        <w:t xml:space="preserve">In parallel, construction of the China–Kyrgyzstan–Uzbekistan railway is advancing rapidly. These dynamics are likely to extend to the South Caucasus as China and the </w:t>
      </w:r>
      <w:r w:rsidR="00C750A5" w:rsidRPr="00A2210F">
        <w:rPr>
          <w:rFonts w:ascii="Verdana" w:eastAsia="Times New Roman" w:hAnsi="Verdana" w:cs="Times New Roman"/>
          <w:sz w:val="20"/>
          <w:szCs w:val="20"/>
          <w:lang w:val="en-US"/>
        </w:rPr>
        <w:t xml:space="preserve">EU </w:t>
      </w:r>
      <w:r w:rsidRPr="00DA3574">
        <w:rPr>
          <w:rFonts w:ascii="Verdana" w:eastAsia="Times New Roman" w:hAnsi="Verdana" w:cs="Times New Roman"/>
          <w:sz w:val="20"/>
          <w:szCs w:val="20"/>
          <w:lang w:val="en-US"/>
        </w:rPr>
        <w:t xml:space="preserve">seek to </w:t>
      </w:r>
      <w:r w:rsidRPr="00DA3574">
        <w:rPr>
          <w:rFonts w:ascii="Verdana" w:eastAsia="Times New Roman" w:hAnsi="Verdana" w:cs="Times New Roman"/>
          <w:sz w:val="20"/>
          <w:szCs w:val="20"/>
          <w:lang w:val="en-US"/>
        </w:rPr>
        <w:lastRenderedPageBreak/>
        <w:t>expand overland connectivity to facilitate trade and access stable markets. This process will further link Central Asia and the South Caucasus and will require enhanced coordination to improve connectivity among major economic centers, giving rise to a second trend: the increasing complexity of the region’s geoeconomic architecture.</w:t>
      </w:r>
    </w:p>
    <w:p w14:paraId="4872291B" w14:textId="3F036787" w:rsidR="00DA3574" w:rsidRPr="00DA3574" w:rsidRDefault="00DA3574" w:rsidP="00DA3574">
      <w:pPr>
        <w:spacing w:line="240" w:lineRule="auto"/>
        <w:rPr>
          <w:rFonts w:ascii="Verdana" w:eastAsia="Times New Roman" w:hAnsi="Verdana" w:cs="Times New Roman"/>
          <w:sz w:val="20"/>
          <w:szCs w:val="20"/>
          <w:lang w:val="en-US"/>
        </w:rPr>
      </w:pPr>
      <w:r w:rsidRPr="00DA3574">
        <w:rPr>
          <w:rFonts w:ascii="Verdana" w:eastAsia="Times New Roman" w:hAnsi="Verdana" w:cs="Times New Roman"/>
          <w:sz w:val="20"/>
          <w:szCs w:val="20"/>
          <w:lang w:val="en-US"/>
        </w:rPr>
        <w:t xml:space="preserve">Despite these developments, the South Caucasus continues to consist of three states sharing a common geographic space but pursuing distinct foreign policy orientations. A comparable situation previously existed in Central Asia and did not prevent regional consolidation, as multiple institutional platforms were leveraged to advance regional interests. Similarly, the EAEU can support trade with Russia, the SCO can provide additional security frameworks for transport corridors, and both the </w:t>
      </w:r>
      <w:r w:rsidR="00FD776F" w:rsidRPr="00A2210F">
        <w:rPr>
          <w:rFonts w:ascii="Verdana" w:eastAsia="Times New Roman" w:hAnsi="Verdana" w:cs="Times New Roman"/>
          <w:sz w:val="20"/>
          <w:szCs w:val="20"/>
          <w:lang w:val="en-US"/>
        </w:rPr>
        <w:t xml:space="preserve">EU </w:t>
      </w:r>
      <w:r w:rsidRPr="00DA3574">
        <w:rPr>
          <w:rFonts w:ascii="Verdana" w:eastAsia="Times New Roman" w:hAnsi="Verdana" w:cs="Times New Roman"/>
          <w:sz w:val="20"/>
          <w:szCs w:val="20"/>
          <w:lang w:val="en-US"/>
        </w:rPr>
        <w:t>and China can serve as key financiers of transport infrastructure.</w:t>
      </w:r>
    </w:p>
    <w:p w14:paraId="21F6B481" w14:textId="77777777" w:rsidR="004525B4" w:rsidRPr="004525B4" w:rsidRDefault="004525B4" w:rsidP="004525B4">
      <w:pPr>
        <w:spacing w:line="240" w:lineRule="auto"/>
        <w:rPr>
          <w:rFonts w:ascii="Verdana" w:eastAsia="Times New Roman" w:hAnsi="Verdana" w:cs="Times New Roman"/>
          <w:sz w:val="20"/>
          <w:szCs w:val="20"/>
          <w:lang w:val="en-US"/>
        </w:rPr>
      </w:pPr>
      <w:r w:rsidRPr="004525B4">
        <w:rPr>
          <w:rFonts w:ascii="Verdana" w:eastAsia="Times New Roman" w:hAnsi="Verdana" w:cs="Times New Roman"/>
          <w:sz w:val="20"/>
          <w:szCs w:val="20"/>
          <w:lang w:val="en-US"/>
        </w:rPr>
        <w:t>The third and most significant trend is that the opening of transport links in the South Caucasus will further liberalize the market and intensify competition. For Armenia, this is likely to result in more active competition between Russian and European food producers. Modeling-based studies suggest that Russia’s effective market share will decline as Armenia’s borders open, with Europe and Turkey gaining ground. The central challenge will be to maximize the benefits of this competition by creating conditions that allow actors who compete bilaterally to nonetheless engage in trade and pursue joint projects within the South Caucasus.</w:t>
      </w:r>
    </w:p>
    <w:p w14:paraId="335A6A1F" w14:textId="5A73AA47" w:rsidR="008911FD" w:rsidRPr="008911FD" w:rsidRDefault="008911FD" w:rsidP="008911FD">
      <w:pPr>
        <w:spacing w:line="240" w:lineRule="auto"/>
        <w:rPr>
          <w:rFonts w:ascii="Verdana" w:eastAsia="Times New Roman" w:hAnsi="Verdana" w:cs="Times New Roman"/>
          <w:sz w:val="20"/>
          <w:szCs w:val="20"/>
          <w:lang w:val="en-US"/>
        </w:rPr>
      </w:pPr>
      <w:r w:rsidRPr="008911FD">
        <w:rPr>
          <w:rFonts w:ascii="Verdana" w:eastAsia="Times New Roman" w:hAnsi="Verdana" w:cs="Times New Roman"/>
          <w:sz w:val="20"/>
          <w:szCs w:val="20"/>
          <w:lang w:val="en-US"/>
        </w:rPr>
        <w:t>Armenia’s largest solar power plant, Masrik-1, with a capacity of 62 MW, was developed by FRV and commissioned in June 2025 in the Gegharkunik region, supplying clean energy to more than 21,000 households. The project was financed with support from international banks and a</w:t>
      </w:r>
      <w:r w:rsidRPr="00A2210F">
        <w:rPr>
          <w:rFonts w:ascii="Verdana" w:eastAsia="Times New Roman" w:hAnsi="Verdana" w:cs="Times New Roman"/>
          <w:sz w:val="20"/>
          <w:szCs w:val="20"/>
          <w:lang w:val="en-US"/>
        </w:rPr>
        <w:t>n EU</w:t>
      </w:r>
      <w:r w:rsidRPr="008911FD">
        <w:rPr>
          <w:rFonts w:ascii="Verdana" w:eastAsia="Times New Roman" w:hAnsi="Verdana" w:cs="Times New Roman"/>
          <w:sz w:val="20"/>
          <w:szCs w:val="20"/>
          <w:lang w:val="en-US"/>
        </w:rPr>
        <w:t xml:space="preserve"> grant, while the main construction works were carried out by the Chinese state-owned corporation CMEC. This project represents one of the clearest regional examples of cooperation among competing powers and may serve as a model for other South Caucasus states.</w:t>
      </w:r>
    </w:p>
    <w:p w14:paraId="00000013" w14:textId="23E54948" w:rsidR="00BF2ADF" w:rsidRPr="00A2210F" w:rsidRDefault="00186C4A" w:rsidP="00CD03FE">
      <w:pPr>
        <w:spacing w:line="240" w:lineRule="auto"/>
        <w:rPr>
          <w:rFonts w:ascii="Verdana" w:eastAsia="Times New Roman" w:hAnsi="Verdana" w:cs="Times New Roman"/>
          <w:sz w:val="20"/>
          <w:szCs w:val="20"/>
        </w:rPr>
      </w:pPr>
      <w:r w:rsidRPr="00A2210F">
        <w:rPr>
          <w:rFonts w:ascii="Verdana" w:eastAsia="Times New Roman" w:hAnsi="Verdana" w:cs="Times New Roman"/>
          <w:b/>
          <w:bCs/>
          <w:sz w:val="20"/>
          <w:szCs w:val="20"/>
        </w:rPr>
        <w:t xml:space="preserve">CONCLUSIONS: </w:t>
      </w:r>
      <w:r w:rsidR="00A22965" w:rsidRPr="00A22965">
        <w:rPr>
          <w:rFonts w:ascii="Verdana" w:eastAsia="Times New Roman" w:hAnsi="Verdana" w:cs="Times New Roman"/>
          <w:sz w:val="20"/>
          <w:szCs w:val="20"/>
          <w:lang w:val="en-US"/>
        </w:rPr>
        <w:t xml:space="preserve">In sum, the peace treaty between Azerbaijan and Armenia constitutes a critical turning point for the South Caucasus, positioning the region as an increasingly important transit and connectivity hub linking Central Asia, Europe, and East Asia. </w:t>
      </w:r>
      <w:r w:rsidR="00C134A4" w:rsidRPr="00A2210F">
        <w:rPr>
          <w:rFonts w:ascii="Verdana" w:eastAsia="Times New Roman" w:hAnsi="Verdana" w:cs="Times New Roman"/>
          <w:sz w:val="20"/>
          <w:szCs w:val="20"/>
        </w:rPr>
        <w:t xml:space="preserve">The region’s </w:t>
      </w:r>
      <w:r w:rsidR="00A22965" w:rsidRPr="00A22965">
        <w:rPr>
          <w:rFonts w:ascii="Verdana" w:eastAsia="Times New Roman" w:hAnsi="Verdana" w:cs="Times New Roman"/>
          <w:sz w:val="20"/>
          <w:szCs w:val="20"/>
          <w:lang w:val="en-US"/>
        </w:rPr>
        <w:t xml:space="preserve">future trajectory will be shaped by </w:t>
      </w:r>
      <w:r w:rsidR="00A33E82" w:rsidRPr="00A2210F">
        <w:rPr>
          <w:rFonts w:ascii="Verdana" w:eastAsia="Times New Roman" w:hAnsi="Verdana" w:cs="Times New Roman"/>
          <w:sz w:val="20"/>
          <w:szCs w:val="20"/>
          <w:lang w:val="en-US"/>
        </w:rPr>
        <w:t>its</w:t>
      </w:r>
      <w:r w:rsidR="00A22965" w:rsidRPr="00A22965">
        <w:rPr>
          <w:rFonts w:ascii="Verdana" w:eastAsia="Times New Roman" w:hAnsi="Verdana" w:cs="Times New Roman"/>
          <w:sz w:val="20"/>
          <w:szCs w:val="20"/>
          <w:lang w:val="en-US"/>
        </w:rPr>
        <w:t xml:space="preserve"> capacity to manage a more complex geoeconomic architecture involving multiple external actors with overlapping interests. Divergent foreign policy orientations among regional states may create opportunities to leverage a wide range of institutional platforms and investment sources. Ultimately, the </w:t>
      </w:r>
      <w:r w:rsidR="00283B42" w:rsidRPr="00A2210F">
        <w:rPr>
          <w:rFonts w:ascii="Verdana" w:eastAsia="Times New Roman" w:hAnsi="Verdana" w:cs="Times New Roman"/>
          <w:sz w:val="20"/>
          <w:szCs w:val="20"/>
        </w:rPr>
        <w:t xml:space="preserve">impact </w:t>
      </w:r>
      <w:r w:rsidR="00A22965" w:rsidRPr="00A22965">
        <w:rPr>
          <w:rFonts w:ascii="Verdana" w:eastAsia="Times New Roman" w:hAnsi="Verdana" w:cs="Times New Roman"/>
          <w:sz w:val="20"/>
          <w:szCs w:val="20"/>
          <w:lang w:val="en-US"/>
        </w:rPr>
        <w:t xml:space="preserve">of the peace agreement will depend on whether </w:t>
      </w:r>
      <w:r w:rsidR="003F2D0D" w:rsidRPr="00A2210F">
        <w:rPr>
          <w:rFonts w:ascii="Verdana" w:eastAsia="Times New Roman" w:hAnsi="Verdana" w:cs="Times New Roman"/>
          <w:sz w:val="20"/>
          <w:szCs w:val="20"/>
          <w:lang w:val="en-US"/>
        </w:rPr>
        <w:t xml:space="preserve">the </w:t>
      </w:r>
      <w:r w:rsidR="003F2D0D" w:rsidRPr="00A2210F">
        <w:rPr>
          <w:rFonts w:ascii="Verdana" w:eastAsia="Times New Roman" w:hAnsi="Verdana" w:cs="Times New Roman"/>
          <w:sz w:val="20"/>
          <w:szCs w:val="20"/>
        </w:rPr>
        <w:t xml:space="preserve">regional states can translate </w:t>
      </w:r>
      <w:r w:rsidR="00A22965" w:rsidRPr="00A22965">
        <w:rPr>
          <w:rFonts w:ascii="Verdana" w:eastAsia="Times New Roman" w:hAnsi="Verdana" w:cs="Times New Roman"/>
          <w:sz w:val="20"/>
          <w:szCs w:val="20"/>
          <w:lang w:val="en-US"/>
        </w:rPr>
        <w:t xml:space="preserve">improved connectivity and heightened competition into cooperative economic projects. </w:t>
      </w:r>
      <w:r w:rsidR="003E23F3" w:rsidRPr="00A2210F">
        <w:rPr>
          <w:rFonts w:ascii="Verdana" w:eastAsia="Times New Roman" w:hAnsi="Verdana" w:cs="Times New Roman"/>
          <w:sz w:val="20"/>
          <w:szCs w:val="20"/>
        </w:rPr>
        <w:t xml:space="preserve">The long-term success of the regionalization process will therefore hinge on the ability of regional states to manage diversity in external partnerships </w:t>
      </w:r>
      <w:r w:rsidR="004C203B" w:rsidRPr="00A2210F">
        <w:rPr>
          <w:rFonts w:ascii="Verdana" w:eastAsia="Times New Roman" w:hAnsi="Verdana" w:cs="Times New Roman"/>
          <w:sz w:val="20"/>
          <w:szCs w:val="20"/>
        </w:rPr>
        <w:t xml:space="preserve">by </w:t>
      </w:r>
      <w:r w:rsidR="003E23F3" w:rsidRPr="00A2210F">
        <w:rPr>
          <w:rFonts w:ascii="Verdana" w:eastAsia="Times New Roman" w:hAnsi="Verdana" w:cs="Times New Roman"/>
          <w:sz w:val="20"/>
          <w:szCs w:val="20"/>
        </w:rPr>
        <w:t xml:space="preserve">preventing geopolitical competition from obstructing economic cooperation. </w:t>
      </w:r>
      <w:r w:rsidR="00A22965" w:rsidRPr="00A22965">
        <w:rPr>
          <w:rFonts w:ascii="Verdana" w:eastAsia="Times New Roman" w:hAnsi="Verdana" w:cs="Times New Roman"/>
          <w:sz w:val="20"/>
          <w:szCs w:val="20"/>
          <w:lang w:val="en-US"/>
        </w:rPr>
        <w:t>If effectively managed, the South Caucasus can move beyond a legacy of protracted conflict and emerge as a stable, competitive, and strategically significant component of broader Eurasian geoeconomic processes.</w:t>
      </w:r>
    </w:p>
    <w:p w14:paraId="00000018" w14:textId="425A46E9" w:rsidR="00BF2ADF" w:rsidRPr="00A2210F" w:rsidRDefault="00186C4A" w:rsidP="00CD03FE">
      <w:pPr>
        <w:spacing w:line="240" w:lineRule="auto"/>
        <w:rPr>
          <w:rFonts w:ascii="Verdana" w:eastAsia="Times New Roman" w:hAnsi="Verdana" w:cs="Times New Roman"/>
          <w:sz w:val="20"/>
          <w:szCs w:val="20"/>
        </w:rPr>
      </w:pPr>
      <w:r w:rsidRPr="00A2210F">
        <w:rPr>
          <w:rFonts w:ascii="Verdana" w:eastAsia="Times New Roman" w:hAnsi="Verdana" w:cs="Times New Roman"/>
          <w:b/>
          <w:bCs/>
          <w:sz w:val="20"/>
          <w:szCs w:val="20"/>
        </w:rPr>
        <w:t>AUTHOR'S BIO:</w:t>
      </w:r>
      <w:r w:rsidR="00A2210F" w:rsidRPr="00A2210F">
        <w:rPr>
          <w:rFonts w:ascii="Verdana" w:eastAsia="Times New Roman" w:hAnsi="Verdana" w:cs="Times New Roman"/>
          <w:b/>
          <w:bCs/>
          <w:sz w:val="20"/>
          <w:szCs w:val="20"/>
        </w:rPr>
        <w:t xml:space="preserve"> </w:t>
      </w:r>
      <w:r w:rsidRPr="00A2210F">
        <w:rPr>
          <w:rFonts w:ascii="Verdana" w:eastAsia="Times New Roman" w:hAnsi="Verdana" w:cs="Times New Roman"/>
          <w:sz w:val="20"/>
          <w:szCs w:val="20"/>
        </w:rPr>
        <w:t xml:space="preserve">Eldaniz Gusseinov is a Head of Research and </w:t>
      </w:r>
      <w:proofErr w:type="spellStart"/>
      <w:r w:rsidRPr="00A2210F">
        <w:rPr>
          <w:rFonts w:ascii="Verdana" w:eastAsia="Times New Roman" w:hAnsi="Verdana" w:cs="Times New Roman"/>
          <w:sz w:val="20"/>
          <w:szCs w:val="20"/>
        </w:rPr>
        <w:t>сo</w:t>
      </w:r>
      <w:proofErr w:type="spellEnd"/>
      <w:r w:rsidRPr="00A2210F">
        <w:rPr>
          <w:rFonts w:ascii="Verdana" w:eastAsia="Times New Roman" w:hAnsi="Verdana" w:cs="Times New Roman"/>
          <w:sz w:val="20"/>
          <w:szCs w:val="20"/>
        </w:rPr>
        <w:t>-founder at the political foresight agency Nightingale Int. and a non-resident research fellow at Haydar Aliyev Center for Eurasian Studies of the Ibn Haldun University, Istanbul.</w:t>
      </w:r>
      <w:r w:rsidR="00A2210F" w:rsidRPr="00A2210F">
        <w:rPr>
          <w:rFonts w:ascii="Verdana" w:eastAsia="Times New Roman" w:hAnsi="Verdana" w:cs="Times New Roman"/>
          <w:sz w:val="20"/>
          <w:szCs w:val="20"/>
        </w:rPr>
        <w:t xml:space="preserve"> </w:t>
      </w:r>
      <w:r w:rsidRPr="00A2210F">
        <w:rPr>
          <w:rFonts w:ascii="Verdana" w:eastAsia="Times New Roman" w:hAnsi="Verdana" w:cs="Times New Roman"/>
          <w:sz w:val="20"/>
          <w:szCs w:val="20"/>
        </w:rPr>
        <w:t xml:space="preserve">Sardor Allayarov is an </w:t>
      </w:r>
      <w:proofErr w:type="gramStart"/>
      <w:r w:rsidRPr="00A2210F">
        <w:rPr>
          <w:rFonts w:ascii="Verdana" w:eastAsia="Times New Roman" w:hAnsi="Verdana" w:cs="Times New Roman"/>
          <w:sz w:val="20"/>
          <w:szCs w:val="20"/>
        </w:rPr>
        <w:t>International</w:t>
      </w:r>
      <w:proofErr w:type="gramEnd"/>
      <w:r w:rsidRPr="00A2210F">
        <w:rPr>
          <w:rFonts w:ascii="Verdana" w:eastAsia="Times New Roman" w:hAnsi="Verdana" w:cs="Times New Roman"/>
          <w:sz w:val="20"/>
          <w:szCs w:val="20"/>
        </w:rPr>
        <w:t xml:space="preserve"> relations expert with a research focus on theories of international relations, international order, China, Eurasia, and foreign policy. He currently serves as a Research Assistant at </w:t>
      </w:r>
      <w:proofErr w:type="spellStart"/>
      <w:r w:rsidRPr="00A2210F">
        <w:rPr>
          <w:rFonts w:ascii="Verdana" w:eastAsia="Times New Roman" w:hAnsi="Verdana" w:cs="Times New Roman"/>
          <w:sz w:val="20"/>
          <w:szCs w:val="20"/>
        </w:rPr>
        <w:t>Urgench</w:t>
      </w:r>
      <w:proofErr w:type="spellEnd"/>
      <w:r w:rsidRPr="00A2210F">
        <w:rPr>
          <w:rFonts w:ascii="Verdana" w:eastAsia="Times New Roman" w:hAnsi="Verdana" w:cs="Times New Roman"/>
          <w:sz w:val="20"/>
          <w:szCs w:val="20"/>
        </w:rPr>
        <w:t xml:space="preserve"> State University in Uzbekistan.</w:t>
      </w:r>
    </w:p>
    <w:sectPr w:rsidR="00BF2ADF" w:rsidRPr="00A2210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embedRegular r:id="rId1" w:fontKey="{3E86071D-F8DD-4B7B-8349-5EB5AD753560}"/>
    <w:embedBold r:id="rId2" w:fontKey="{26637DAB-BBA3-402B-932A-71B6F4414BF1}"/>
  </w:font>
  <w:font w:name="Calibri">
    <w:panose1 w:val="020F0502020204030204"/>
    <w:charset w:val="00"/>
    <w:family w:val="swiss"/>
    <w:pitch w:val="variable"/>
    <w:sig w:usb0="E4002EFF" w:usb1="C200247B" w:usb2="00000009" w:usb3="00000000" w:csb0="000001FF" w:csb1="00000000"/>
    <w:embedRegular r:id="rId3" w:fontKey="{CCC96670-4025-4F21-8844-A3092E84C6D7}"/>
  </w:font>
  <w:font w:name="Cambria">
    <w:panose1 w:val="02040503050406030204"/>
    <w:charset w:val="CC"/>
    <w:family w:val="roman"/>
    <w:pitch w:val="variable"/>
    <w:sig w:usb0="E00006FF" w:usb1="420024FF" w:usb2="02000000" w:usb3="00000000" w:csb0="0000019F" w:csb1="00000000"/>
    <w:embedRegular r:id="rId4" w:fontKey="{9135D094-246C-4D93-9B19-1787A0D43A6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ADF"/>
    <w:rsid w:val="00063316"/>
    <w:rsid w:val="00122712"/>
    <w:rsid w:val="00152DC1"/>
    <w:rsid w:val="00186C4A"/>
    <w:rsid w:val="001904C8"/>
    <w:rsid w:val="00234930"/>
    <w:rsid w:val="0024657D"/>
    <w:rsid w:val="00283B42"/>
    <w:rsid w:val="002A742F"/>
    <w:rsid w:val="003309DC"/>
    <w:rsid w:val="003D47B9"/>
    <w:rsid w:val="003E23F3"/>
    <w:rsid w:val="003F2D0D"/>
    <w:rsid w:val="00400C3E"/>
    <w:rsid w:val="004525B4"/>
    <w:rsid w:val="004C203B"/>
    <w:rsid w:val="004C7FC9"/>
    <w:rsid w:val="00541473"/>
    <w:rsid w:val="00583701"/>
    <w:rsid w:val="005F4474"/>
    <w:rsid w:val="00603F18"/>
    <w:rsid w:val="00610533"/>
    <w:rsid w:val="006579A4"/>
    <w:rsid w:val="0067613B"/>
    <w:rsid w:val="006C6002"/>
    <w:rsid w:val="007850CD"/>
    <w:rsid w:val="00794643"/>
    <w:rsid w:val="007A6CE8"/>
    <w:rsid w:val="00830079"/>
    <w:rsid w:val="0085576B"/>
    <w:rsid w:val="00856091"/>
    <w:rsid w:val="008911FD"/>
    <w:rsid w:val="00994B37"/>
    <w:rsid w:val="00A2210F"/>
    <w:rsid w:val="00A22965"/>
    <w:rsid w:val="00A33E82"/>
    <w:rsid w:val="00AC6EF2"/>
    <w:rsid w:val="00BD009D"/>
    <w:rsid w:val="00BF2ADF"/>
    <w:rsid w:val="00C134A4"/>
    <w:rsid w:val="00C13DE5"/>
    <w:rsid w:val="00C750A5"/>
    <w:rsid w:val="00C9790F"/>
    <w:rsid w:val="00CC1788"/>
    <w:rsid w:val="00CD03FE"/>
    <w:rsid w:val="00D326C7"/>
    <w:rsid w:val="00DA3574"/>
    <w:rsid w:val="00DE13B7"/>
    <w:rsid w:val="00E814AC"/>
    <w:rsid w:val="00ED1A82"/>
    <w:rsid w:val="00F2678E"/>
    <w:rsid w:val="00F61CE4"/>
    <w:rsid w:val="00FA1D4D"/>
    <w:rsid w:val="00FD54B1"/>
    <w:rsid w:val="00FD7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07239"/>
  <w15:docId w15:val="{07BF3C4D-04BC-4D50-85B2-71410639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a5">
    <w:name w:val="annotation reference"/>
    <w:basedOn w:val="a0"/>
    <w:uiPriority w:val="99"/>
    <w:semiHidden/>
    <w:unhideWhenUsed/>
    <w:rsid w:val="006C6002"/>
    <w:rPr>
      <w:sz w:val="16"/>
      <w:szCs w:val="16"/>
    </w:rPr>
  </w:style>
  <w:style w:type="paragraph" w:styleId="a6">
    <w:name w:val="annotation text"/>
    <w:basedOn w:val="a"/>
    <w:link w:val="a7"/>
    <w:uiPriority w:val="99"/>
    <w:unhideWhenUsed/>
    <w:rsid w:val="006C6002"/>
    <w:pPr>
      <w:spacing w:line="240" w:lineRule="auto"/>
    </w:pPr>
    <w:rPr>
      <w:sz w:val="20"/>
      <w:szCs w:val="20"/>
    </w:rPr>
  </w:style>
  <w:style w:type="character" w:customStyle="1" w:styleId="a7">
    <w:name w:val="Текст примечания Знак"/>
    <w:basedOn w:val="a0"/>
    <w:link w:val="a6"/>
    <w:uiPriority w:val="99"/>
    <w:rsid w:val="006C6002"/>
    <w:rPr>
      <w:sz w:val="20"/>
      <w:szCs w:val="20"/>
    </w:rPr>
  </w:style>
  <w:style w:type="paragraph" w:styleId="a8">
    <w:name w:val="annotation subject"/>
    <w:basedOn w:val="a6"/>
    <w:next w:val="a6"/>
    <w:link w:val="a9"/>
    <w:uiPriority w:val="99"/>
    <w:semiHidden/>
    <w:unhideWhenUsed/>
    <w:rsid w:val="006C6002"/>
    <w:rPr>
      <w:b/>
      <w:bCs/>
    </w:rPr>
  </w:style>
  <w:style w:type="character" w:customStyle="1" w:styleId="a9">
    <w:name w:val="Тема примечания Знак"/>
    <w:basedOn w:val="a7"/>
    <w:link w:val="a8"/>
    <w:uiPriority w:val="99"/>
    <w:semiHidden/>
    <w:rsid w:val="006C60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42174">
      <w:bodyDiv w:val="1"/>
      <w:marLeft w:val="0"/>
      <w:marRight w:val="0"/>
      <w:marTop w:val="0"/>
      <w:marBottom w:val="0"/>
      <w:divBdr>
        <w:top w:val="none" w:sz="0" w:space="0" w:color="auto"/>
        <w:left w:val="none" w:sz="0" w:space="0" w:color="auto"/>
        <w:bottom w:val="none" w:sz="0" w:space="0" w:color="auto"/>
        <w:right w:val="none" w:sz="0" w:space="0" w:color="auto"/>
      </w:divBdr>
    </w:div>
    <w:div w:id="295527381">
      <w:bodyDiv w:val="1"/>
      <w:marLeft w:val="0"/>
      <w:marRight w:val="0"/>
      <w:marTop w:val="0"/>
      <w:marBottom w:val="0"/>
      <w:divBdr>
        <w:top w:val="none" w:sz="0" w:space="0" w:color="auto"/>
        <w:left w:val="none" w:sz="0" w:space="0" w:color="auto"/>
        <w:bottom w:val="none" w:sz="0" w:space="0" w:color="auto"/>
        <w:right w:val="none" w:sz="0" w:space="0" w:color="auto"/>
      </w:divBdr>
    </w:div>
    <w:div w:id="1190530365">
      <w:bodyDiv w:val="1"/>
      <w:marLeft w:val="0"/>
      <w:marRight w:val="0"/>
      <w:marTop w:val="0"/>
      <w:marBottom w:val="0"/>
      <w:divBdr>
        <w:top w:val="none" w:sz="0" w:space="0" w:color="auto"/>
        <w:left w:val="none" w:sz="0" w:space="0" w:color="auto"/>
        <w:bottom w:val="none" w:sz="0" w:space="0" w:color="auto"/>
        <w:right w:val="none" w:sz="0" w:space="0" w:color="auto"/>
      </w:divBdr>
    </w:div>
    <w:div w:id="1277756996">
      <w:bodyDiv w:val="1"/>
      <w:marLeft w:val="0"/>
      <w:marRight w:val="0"/>
      <w:marTop w:val="0"/>
      <w:marBottom w:val="0"/>
      <w:divBdr>
        <w:top w:val="none" w:sz="0" w:space="0" w:color="auto"/>
        <w:left w:val="none" w:sz="0" w:space="0" w:color="auto"/>
        <w:bottom w:val="none" w:sz="0" w:space="0" w:color="auto"/>
        <w:right w:val="none" w:sz="0" w:space="0" w:color="auto"/>
      </w:divBdr>
    </w:div>
    <w:div w:id="1741098116">
      <w:bodyDiv w:val="1"/>
      <w:marLeft w:val="0"/>
      <w:marRight w:val="0"/>
      <w:marTop w:val="0"/>
      <w:marBottom w:val="0"/>
      <w:divBdr>
        <w:top w:val="none" w:sz="0" w:space="0" w:color="auto"/>
        <w:left w:val="none" w:sz="0" w:space="0" w:color="auto"/>
        <w:bottom w:val="none" w:sz="0" w:space="0" w:color="auto"/>
        <w:right w:val="none" w:sz="0" w:space="0" w:color="auto"/>
      </w:divBdr>
    </w:div>
    <w:div w:id="2128616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40</TotalTime>
  <Pages>2</Pages>
  <Words>1185</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Eldaniz Gusseinov</cp:lastModifiedBy>
  <cp:revision>45</cp:revision>
  <dcterms:created xsi:type="dcterms:W3CDTF">2026-02-10T16:45:00Z</dcterms:created>
  <dcterms:modified xsi:type="dcterms:W3CDTF">2026-02-16T15:22:00Z</dcterms:modified>
</cp:coreProperties>
</file>