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75508" w14:textId="509640BB" w:rsidR="00785172" w:rsidRPr="00A30C9B" w:rsidRDefault="00775840" w:rsidP="00775840">
      <w:pPr>
        <w:spacing w:after="0" w:line="240" w:lineRule="auto"/>
        <w:rPr>
          <w:rFonts w:ascii="Verdana" w:hAnsi="Verdana" w:cs="Times New Roman"/>
          <w:b/>
          <w:bCs/>
          <w:sz w:val="20"/>
          <w:szCs w:val="20"/>
        </w:rPr>
      </w:pPr>
      <w:r>
        <w:rPr>
          <w:rFonts w:ascii="Verdana" w:hAnsi="Verdana" w:cs="Times New Roman"/>
          <w:b/>
          <w:bCs/>
          <w:sz w:val="20"/>
          <w:szCs w:val="20"/>
        </w:rPr>
        <w:t xml:space="preserve">FROM DECLARATIONS TO CORRIDORS: RETHINKING </w:t>
      </w:r>
      <w:r w:rsidR="004A73B9">
        <w:rPr>
          <w:rFonts w:ascii="Verdana" w:hAnsi="Verdana" w:cs="Times New Roman"/>
          <w:b/>
          <w:bCs/>
          <w:sz w:val="20"/>
          <w:szCs w:val="20"/>
        </w:rPr>
        <w:t>ECONOMIC INTEGRATION IN CENTRAL ASIA</w:t>
      </w:r>
    </w:p>
    <w:p w14:paraId="3EDED997" w14:textId="2F3E2DB6" w:rsidR="00752C92" w:rsidRPr="004A73B9" w:rsidRDefault="00752C92" w:rsidP="00775840">
      <w:pPr>
        <w:spacing w:after="0" w:line="240" w:lineRule="auto"/>
        <w:rPr>
          <w:rFonts w:ascii="Verdana" w:hAnsi="Verdana" w:cs="Times New Roman"/>
          <w:sz w:val="20"/>
          <w:szCs w:val="20"/>
        </w:rPr>
      </w:pPr>
      <w:r w:rsidRPr="004A73B9">
        <w:rPr>
          <w:rFonts w:ascii="Verdana" w:hAnsi="Verdana" w:cs="Times New Roman"/>
          <w:sz w:val="20"/>
          <w:szCs w:val="20"/>
        </w:rPr>
        <w:t>Rafis Abazov</w:t>
      </w:r>
    </w:p>
    <w:p w14:paraId="104CA7AE" w14:textId="77777777" w:rsidR="00785172" w:rsidRPr="004A73B9" w:rsidRDefault="00785172" w:rsidP="00775840">
      <w:pPr>
        <w:spacing w:after="0" w:line="240" w:lineRule="auto"/>
        <w:rPr>
          <w:rFonts w:ascii="Verdana" w:hAnsi="Verdana" w:cs="Times New Roman"/>
          <w:sz w:val="20"/>
          <w:szCs w:val="20"/>
        </w:rPr>
      </w:pPr>
      <w:r w:rsidRPr="004A73B9">
        <w:rPr>
          <w:rFonts w:ascii="Verdana" w:hAnsi="Verdana" w:cs="Times New Roman"/>
          <w:sz w:val="20"/>
          <w:szCs w:val="20"/>
        </w:rPr>
        <w:t xml:space="preserve">For more than three decades, economic integration in Central Asia has been shaped by ambitious declarations, multilateral communiqués, and periodic summit diplomacy. Yet tangible outcomes have often </w:t>
      </w:r>
      <w:proofErr w:type="gramStart"/>
      <w:r w:rsidRPr="004A73B9">
        <w:rPr>
          <w:rFonts w:ascii="Verdana" w:hAnsi="Verdana" w:cs="Times New Roman"/>
          <w:sz w:val="20"/>
          <w:szCs w:val="20"/>
        </w:rPr>
        <w:t>lagged behind</w:t>
      </w:r>
      <w:proofErr w:type="gramEnd"/>
      <w:r w:rsidRPr="004A73B9">
        <w:rPr>
          <w:rFonts w:ascii="Verdana" w:hAnsi="Verdana" w:cs="Times New Roman"/>
          <w:sz w:val="20"/>
          <w:szCs w:val="20"/>
        </w:rPr>
        <w:t xml:space="preserve"> political rhetoric. The emerging shift from abstract integration models toward corridor-based, infrastructure-driven cooperation marks a potentially decisive turning point. Recent developments between Kazakhstan and Kyrgyzstan—notably the revival of the Almaty–Bishkek Economic Corridor with support from the Asian Development Bank (ADB) and the creation of industrial and logistics hubs along their shared border—suggest that Central Asia may finally be moving from declarative regionalism to functional economic integration.</w:t>
      </w:r>
    </w:p>
    <w:p w14:paraId="09A0784B" w14:textId="538623FB" w:rsidR="00785172" w:rsidRPr="00A30C9B" w:rsidRDefault="004A73B9" w:rsidP="00775840">
      <w:pPr>
        <w:spacing w:after="0" w:line="240" w:lineRule="auto"/>
        <w:rPr>
          <w:rFonts w:ascii="Verdana" w:hAnsi="Verdana" w:cs="Times New Roman"/>
          <w:sz w:val="20"/>
          <w:szCs w:val="20"/>
        </w:rPr>
      </w:pPr>
      <w:r>
        <w:rPr>
          <w:rFonts w:ascii="Verdana" w:hAnsi="Verdana" w:cs="Times New Roman"/>
          <w:b/>
          <w:bCs/>
          <w:sz w:val="20"/>
          <w:szCs w:val="20"/>
        </w:rPr>
        <w:t>BACKGROUND</w:t>
      </w:r>
      <w:r w:rsidR="00785172" w:rsidRPr="00A30C9B">
        <w:rPr>
          <w:rFonts w:ascii="Verdana" w:hAnsi="Verdana" w:cs="Times New Roman"/>
          <w:b/>
          <w:bCs/>
          <w:sz w:val="20"/>
          <w:szCs w:val="20"/>
        </w:rPr>
        <w:t xml:space="preserve">: </w:t>
      </w:r>
      <w:r w:rsidR="00785172" w:rsidRPr="00A30C9B">
        <w:rPr>
          <w:rFonts w:ascii="Verdana" w:hAnsi="Verdana" w:cs="Times New Roman"/>
          <w:sz w:val="20"/>
          <w:szCs w:val="20"/>
        </w:rPr>
        <w:t>Since independence, Central Asian states have repeatedly endorsed the idea of regional economic integration. Initiatives ranging from customs cooperation to Central Asian Economic Union (CAEU) were designed to lower barriers, stimulate trade, and create a single economic space. In practice, however, these frameworks often lacked operational depth. Divergent regulatory regimes, weak cross-border infrastructure, and limited coordination between national development strategies constrained their impact. Kazakhstan and Kyrgyzstan provide a revealing case. Despite geographical proximity and strong historical ties, economic cooperation long remained below potential. According to official data, bilateral trade turnover remained under US</w:t>
      </w:r>
      <w:r w:rsidR="00DE0341">
        <w:rPr>
          <w:rFonts w:ascii="Verdana" w:hAnsi="Verdana" w:cs="Times New Roman"/>
          <w:sz w:val="20"/>
          <w:szCs w:val="20"/>
        </w:rPr>
        <w:t>$</w:t>
      </w:r>
      <w:r w:rsidR="00785172" w:rsidRPr="00A30C9B">
        <w:rPr>
          <w:rFonts w:ascii="Verdana" w:hAnsi="Verdana" w:cs="Times New Roman"/>
          <w:sz w:val="20"/>
          <w:szCs w:val="20"/>
        </w:rPr>
        <w:t xml:space="preserve"> 2.0 billion in 2025, yet this figure still represented only a fraction of what integrated logistics, industrial cooperation, and value-chain development could deliver. Another indicator underscores this gap: more than 70 percent of bilateral trade consisted of raw materials and low value-added goods, highlighting the structural limitations of existing trade patterns. Against this backdrop, corridor-based integration has emerged as a pragmatic alternative. Rather than attempting to harmonize entire economies at once, economic corridors focus on specific geographic axes where infrastructure, trade facilitation, industrial policy, and investment can be aligned. This logic underpins the renewed focus on the Almaty–Bishkek Economic Corridor, one of the most densely populated (with population about 4</w:t>
      </w:r>
      <w:r w:rsidR="00373B33" w:rsidRPr="00A30C9B">
        <w:rPr>
          <w:rFonts w:ascii="Verdana" w:hAnsi="Verdana" w:cs="Times New Roman"/>
          <w:sz w:val="20"/>
          <w:szCs w:val="20"/>
        </w:rPr>
        <w:t>.4</w:t>
      </w:r>
      <w:r w:rsidR="00785172" w:rsidRPr="00A30C9B">
        <w:rPr>
          <w:rFonts w:ascii="Verdana" w:hAnsi="Verdana" w:cs="Times New Roman"/>
          <w:sz w:val="20"/>
          <w:szCs w:val="20"/>
        </w:rPr>
        <w:t xml:space="preserve"> million people) and economically dynamic cross-border zones in Central Asia. The Almaty–Bishkek Economic Corridor (ABEC) was initially conceptualized in the mid-2010s as a pilot for cross-border integration. Supported by the ADB, the corridor connects two major urban agglomerations—Almaty and Bishkek—located less than 250 kilometers apart. Together, they account for a significant share of both countries’ GDP, population, and industrial capacity.</w:t>
      </w:r>
    </w:p>
    <w:p w14:paraId="7B6949D8" w14:textId="7D70D6F5" w:rsidR="00752C92" w:rsidRPr="00A30C9B" w:rsidRDefault="004A73B9" w:rsidP="00775840">
      <w:pPr>
        <w:spacing w:after="0" w:line="240" w:lineRule="auto"/>
        <w:rPr>
          <w:rFonts w:ascii="Verdana" w:hAnsi="Verdana" w:cs="Times New Roman"/>
          <w:sz w:val="20"/>
          <w:szCs w:val="20"/>
        </w:rPr>
      </w:pPr>
      <w:r>
        <w:rPr>
          <w:rFonts w:ascii="Verdana" w:hAnsi="Verdana" w:cs="Times New Roman"/>
          <w:b/>
          <w:bCs/>
          <w:sz w:val="20"/>
          <w:szCs w:val="20"/>
        </w:rPr>
        <w:t>IMPLICATIONS</w:t>
      </w:r>
      <w:r w:rsidR="00785172" w:rsidRPr="00A30C9B">
        <w:rPr>
          <w:rFonts w:ascii="Verdana" w:hAnsi="Verdana" w:cs="Times New Roman"/>
          <w:b/>
          <w:bCs/>
          <w:sz w:val="20"/>
          <w:szCs w:val="20"/>
        </w:rPr>
        <w:t xml:space="preserve">: </w:t>
      </w:r>
      <w:r w:rsidR="00752C92" w:rsidRPr="00A30C9B">
        <w:rPr>
          <w:rFonts w:ascii="Verdana" w:hAnsi="Verdana" w:cs="Times New Roman"/>
          <w:sz w:val="20"/>
          <w:szCs w:val="20"/>
        </w:rPr>
        <w:t xml:space="preserve">The renewed political momentum behind ABEC is notable. In 2025, the official visit of President Kassym-Jomart Tokayev to Kyrgyzstan elevated economic corridor development to the level of strategic priority. The visit reaffirmed both governments’ commitment to moving beyond symbolic cooperation toward concrete joint projects, particularly in logistics, </w:t>
      </w:r>
      <w:proofErr w:type="spellStart"/>
      <w:r w:rsidR="00752C92" w:rsidRPr="00A30C9B">
        <w:rPr>
          <w:rFonts w:ascii="Verdana" w:hAnsi="Verdana" w:cs="Times New Roman"/>
          <w:sz w:val="20"/>
          <w:szCs w:val="20"/>
        </w:rPr>
        <w:t>agri</w:t>
      </w:r>
      <w:proofErr w:type="spellEnd"/>
      <w:r w:rsidR="00752C92" w:rsidRPr="00A30C9B">
        <w:rPr>
          <w:rFonts w:ascii="Verdana" w:hAnsi="Verdana" w:cs="Times New Roman"/>
          <w:sz w:val="20"/>
          <w:szCs w:val="20"/>
        </w:rPr>
        <w:t>-processing, and light manufacturing. Perhaps the most innovative element of the new integration model is the creation of joint industrial trade and logistics complexes (ITLCs) along the Kazakhstan–Kyrgyzstan border. Unlike traditional free trade zones, these hubs are designed as shared economic spaces, with coordinated infrastructure, customs regimes, and investment incentives. The first pilot hub in the Kordai area represents a qualitative shift. It is not merely a transit point but a platform for joint production, storage, processing, and distribution. By co-locating enterprises from both countries, the hub aims to shorten supply chains, reduce logistics costs, and encourage value-added manufacturing. Early estimates suggest that efficient corridor operations could reduce cross-border transport costs by 15–20 percent, significantly improving competitiveness for small and medium-sized enterprises on both sides</w:t>
      </w:r>
      <w:r w:rsidR="00373B33" w:rsidRPr="00A30C9B">
        <w:rPr>
          <w:rFonts w:ascii="Verdana" w:hAnsi="Verdana" w:cs="Times New Roman"/>
          <w:sz w:val="20"/>
          <w:szCs w:val="20"/>
        </w:rPr>
        <w:t>,</w:t>
      </w:r>
      <w:r w:rsidR="00752C92" w:rsidRPr="00A30C9B">
        <w:rPr>
          <w:rFonts w:ascii="Verdana" w:hAnsi="Verdana" w:cs="Times New Roman"/>
          <w:sz w:val="20"/>
          <w:szCs w:val="20"/>
        </w:rPr>
        <w:t xml:space="preserve"> create thousands of jobs</w:t>
      </w:r>
      <w:r w:rsidR="00373B33" w:rsidRPr="00A30C9B">
        <w:rPr>
          <w:rFonts w:ascii="Verdana" w:hAnsi="Verdana" w:cs="Times New Roman"/>
          <w:sz w:val="20"/>
          <w:szCs w:val="20"/>
        </w:rPr>
        <w:t>, and increase bilateral trade turnover to US</w:t>
      </w:r>
      <w:r w:rsidR="0057701B" w:rsidRPr="00A30C9B">
        <w:rPr>
          <w:rFonts w:ascii="Verdana" w:hAnsi="Verdana" w:cs="Times New Roman"/>
          <w:sz w:val="20"/>
          <w:szCs w:val="20"/>
        </w:rPr>
        <w:t>$</w:t>
      </w:r>
      <w:r w:rsidR="00373B33" w:rsidRPr="00A30C9B">
        <w:rPr>
          <w:rFonts w:ascii="Verdana" w:hAnsi="Verdana" w:cs="Times New Roman"/>
          <w:sz w:val="20"/>
          <w:szCs w:val="20"/>
        </w:rPr>
        <w:t xml:space="preserve"> 3.0 billion by 2030</w:t>
      </w:r>
      <w:r w:rsidR="00752C92" w:rsidRPr="00A30C9B">
        <w:rPr>
          <w:rFonts w:ascii="Verdana" w:hAnsi="Verdana" w:cs="Times New Roman"/>
          <w:sz w:val="20"/>
          <w:szCs w:val="20"/>
        </w:rPr>
        <w:t xml:space="preserve">. Importantly, these hubs are embedded in a broader political framework. Their creation followed mutual state visits, meetings of the </w:t>
      </w:r>
      <w:proofErr w:type="gramStart"/>
      <w:r w:rsidR="00752C92" w:rsidRPr="00A30C9B">
        <w:rPr>
          <w:rFonts w:ascii="Verdana" w:hAnsi="Verdana" w:cs="Times New Roman"/>
          <w:sz w:val="20"/>
          <w:szCs w:val="20"/>
        </w:rPr>
        <w:t>Kazakh–Kyrgyz</w:t>
      </w:r>
      <w:proofErr w:type="gramEnd"/>
      <w:r w:rsidR="00752C92" w:rsidRPr="00A30C9B">
        <w:rPr>
          <w:rFonts w:ascii="Verdana" w:hAnsi="Verdana" w:cs="Times New Roman"/>
          <w:sz w:val="20"/>
          <w:szCs w:val="20"/>
        </w:rPr>
        <w:t xml:space="preserve"> Intergovernmental </w:t>
      </w:r>
      <w:proofErr w:type="gramStart"/>
      <w:r w:rsidR="00752C92" w:rsidRPr="00A30C9B">
        <w:rPr>
          <w:rFonts w:ascii="Verdana" w:hAnsi="Verdana" w:cs="Times New Roman"/>
          <w:sz w:val="20"/>
          <w:szCs w:val="20"/>
        </w:rPr>
        <w:t>Council, and</w:t>
      </w:r>
      <w:proofErr w:type="gramEnd"/>
      <w:r w:rsidR="00752C92" w:rsidRPr="00A30C9B">
        <w:rPr>
          <w:rFonts w:ascii="Verdana" w:hAnsi="Verdana" w:cs="Times New Roman"/>
          <w:sz w:val="20"/>
          <w:szCs w:val="20"/>
        </w:rPr>
        <w:t xml:space="preserve"> sustained high-level </w:t>
      </w:r>
      <w:r w:rsidR="00752C92" w:rsidRPr="00A30C9B">
        <w:rPr>
          <w:rFonts w:ascii="Verdana" w:hAnsi="Verdana" w:cs="Times New Roman"/>
          <w:sz w:val="20"/>
          <w:szCs w:val="20"/>
        </w:rPr>
        <w:lastRenderedPageBreak/>
        <w:t>engagement. This alignment between political leadership and technical implementation has been largely absent in earlier regional initiatives.</w:t>
      </w:r>
    </w:p>
    <w:p w14:paraId="7A9A7B1D" w14:textId="2FC0C1E8" w:rsidR="00785172" w:rsidRPr="00A30C9B" w:rsidRDefault="00785172" w:rsidP="00775840">
      <w:pPr>
        <w:spacing w:after="0" w:line="240" w:lineRule="auto"/>
        <w:rPr>
          <w:rFonts w:ascii="Verdana" w:hAnsi="Verdana" w:cs="Times New Roman"/>
          <w:sz w:val="20"/>
          <w:szCs w:val="20"/>
        </w:rPr>
      </w:pPr>
      <w:r w:rsidRPr="00A30C9B">
        <w:rPr>
          <w:rFonts w:ascii="Verdana" w:hAnsi="Verdana" w:cs="Times New Roman"/>
          <w:sz w:val="20"/>
          <w:szCs w:val="20"/>
        </w:rPr>
        <w:t>The shift from declarations to corridors carries broader implications for Central Asia’s integration trajectory.</w:t>
      </w:r>
      <w:r w:rsidR="00752C92" w:rsidRPr="00A30C9B">
        <w:rPr>
          <w:rFonts w:ascii="Verdana" w:hAnsi="Verdana" w:cs="Times New Roman"/>
          <w:sz w:val="20"/>
          <w:szCs w:val="20"/>
        </w:rPr>
        <w:t xml:space="preserve"> </w:t>
      </w:r>
      <w:r w:rsidRPr="00A30C9B">
        <w:rPr>
          <w:rFonts w:ascii="Verdana" w:hAnsi="Verdana" w:cs="Times New Roman"/>
          <w:sz w:val="20"/>
          <w:szCs w:val="20"/>
        </w:rPr>
        <w:t xml:space="preserve">First, it reframes free trade agreements as enabling instruments rather than endpoints. </w:t>
      </w:r>
      <w:r w:rsidR="002A2F45" w:rsidRPr="00A30C9B">
        <w:rPr>
          <w:rFonts w:ascii="Verdana" w:hAnsi="Verdana" w:cs="Times New Roman"/>
          <w:sz w:val="20"/>
          <w:szCs w:val="20"/>
        </w:rPr>
        <w:t>Free Trade Agreements (</w:t>
      </w:r>
      <w:r w:rsidRPr="00A30C9B">
        <w:rPr>
          <w:rFonts w:ascii="Verdana" w:hAnsi="Verdana" w:cs="Times New Roman"/>
          <w:sz w:val="20"/>
          <w:szCs w:val="20"/>
        </w:rPr>
        <w:t>FTA</w:t>
      </w:r>
      <w:r w:rsidR="002A2F45" w:rsidRPr="00A30C9B">
        <w:rPr>
          <w:rFonts w:ascii="Verdana" w:hAnsi="Verdana" w:cs="Times New Roman"/>
          <w:sz w:val="20"/>
          <w:szCs w:val="20"/>
        </w:rPr>
        <w:t>s)</w:t>
      </w:r>
      <w:r w:rsidRPr="00A30C9B">
        <w:rPr>
          <w:rFonts w:ascii="Verdana" w:hAnsi="Verdana" w:cs="Times New Roman"/>
          <w:sz w:val="20"/>
          <w:szCs w:val="20"/>
        </w:rPr>
        <w:t xml:space="preserve"> alone do not generate trade; infrastructure, logistics, and industrial cooperation do. The Kazakhstan–Kyrgyzstan experience suggests that FTAs are most effective when embedded in spatially defined economic corridors with clear investment pipelines.</w:t>
      </w:r>
      <w:r w:rsidR="00752C92" w:rsidRPr="00A30C9B">
        <w:rPr>
          <w:rFonts w:ascii="Verdana" w:hAnsi="Verdana" w:cs="Times New Roman"/>
          <w:sz w:val="20"/>
          <w:szCs w:val="20"/>
        </w:rPr>
        <w:t xml:space="preserve"> </w:t>
      </w:r>
      <w:r w:rsidRPr="00A30C9B">
        <w:rPr>
          <w:rFonts w:ascii="Verdana" w:hAnsi="Verdana" w:cs="Times New Roman"/>
          <w:sz w:val="20"/>
          <w:szCs w:val="20"/>
        </w:rPr>
        <w:t>Second, corridor-based integration offers scalability. Success along the Almaty–Bishkek axis could be replicated along other strategic routes, linking Central Asia more effectively to South Asia, China, and the Caucasus. In this sense, corridors function as building blocks for a wider regional economic space.</w:t>
      </w:r>
      <w:r w:rsidR="00752C92" w:rsidRPr="00A30C9B">
        <w:rPr>
          <w:rFonts w:ascii="Verdana" w:hAnsi="Verdana" w:cs="Times New Roman"/>
          <w:sz w:val="20"/>
          <w:szCs w:val="20"/>
        </w:rPr>
        <w:t xml:space="preserve"> </w:t>
      </w:r>
      <w:r w:rsidRPr="00A30C9B">
        <w:rPr>
          <w:rFonts w:ascii="Verdana" w:hAnsi="Verdana" w:cs="Times New Roman"/>
          <w:sz w:val="20"/>
          <w:szCs w:val="20"/>
        </w:rPr>
        <w:t>Third, the model strengthens resilience. By promoting regional value chains and reducing dependence on distant markets, corridor integration can buffer Central Asian economies against external shocks. For landlocked countries, improved cross-border connectivity is not a luxury but a strategic necessity.</w:t>
      </w:r>
      <w:r w:rsidR="00752C92" w:rsidRPr="00A30C9B">
        <w:rPr>
          <w:rFonts w:ascii="Verdana" w:hAnsi="Verdana" w:cs="Times New Roman"/>
          <w:sz w:val="20"/>
          <w:szCs w:val="20"/>
        </w:rPr>
        <w:t xml:space="preserve"> </w:t>
      </w:r>
      <w:r w:rsidRPr="00A30C9B">
        <w:rPr>
          <w:rFonts w:ascii="Verdana" w:hAnsi="Verdana" w:cs="Times New Roman"/>
          <w:sz w:val="20"/>
          <w:szCs w:val="20"/>
        </w:rPr>
        <w:t xml:space="preserve">Finally, the </w:t>
      </w:r>
      <w:proofErr w:type="gramStart"/>
      <w:r w:rsidRPr="00A30C9B">
        <w:rPr>
          <w:rFonts w:ascii="Verdana" w:hAnsi="Verdana" w:cs="Times New Roman"/>
          <w:sz w:val="20"/>
          <w:szCs w:val="20"/>
        </w:rPr>
        <w:t>political economy</w:t>
      </w:r>
      <w:proofErr w:type="gramEnd"/>
      <w:r w:rsidRPr="00A30C9B">
        <w:rPr>
          <w:rFonts w:ascii="Verdana" w:hAnsi="Verdana" w:cs="Times New Roman"/>
          <w:sz w:val="20"/>
          <w:szCs w:val="20"/>
        </w:rPr>
        <w:t xml:space="preserve"> dimension is crucial. Sustained leadership engagement—illustrated by the 2025 presidential visit and repeated intergovernmental consultations—signals a recognition that economic integration requires long-term commitment, institutional coordination, and trust-building. This is a departure from the episodic diplomacy that characterized earlier phases of regional cooperation.</w:t>
      </w:r>
    </w:p>
    <w:p w14:paraId="26D0252D" w14:textId="718332B5" w:rsidR="00752C92" w:rsidRPr="00A30C9B" w:rsidRDefault="004A73B9" w:rsidP="00775840">
      <w:pPr>
        <w:spacing w:after="0" w:line="240" w:lineRule="auto"/>
        <w:rPr>
          <w:rFonts w:ascii="Verdana" w:hAnsi="Verdana" w:cs="Times New Roman"/>
          <w:sz w:val="20"/>
          <w:szCs w:val="20"/>
        </w:rPr>
      </w:pPr>
      <w:r>
        <w:rPr>
          <w:rFonts w:ascii="Verdana" w:hAnsi="Verdana" w:cs="Times New Roman"/>
          <w:b/>
          <w:bCs/>
          <w:sz w:val="20"/>
          <w:szCs w:val="20"/>
        </w:rPr>
        <w:t>CONCLUSIONS</w:t>
      </w:r>
      <w:r w:rsidR="00785172" w:rsidRPr="00A30C9B">
        <w:rPr>
          <w:rFonts w:ascii="Verdana" w:hAnsi="Verdana" w:cs="Times New Roman"/>
          <w:b/>
          <w:bCs/>
          <w:sz w:val="20"/>
          <w:szCs w:val="20"/>
        </w:rPr>
        <w:t xml:space="preserve">: </w:t>
      </w:r>
      <w:r w:rsidR="00752C92" w:rsidRPr="00A30C9B">
        <w:rPr>
          <w:rFonts w:ascii="Verdana" w:hAnsi="Verdana" w:cs="Times New Roman"/>
          <w:sz w:val="20"/>
          <w:szCs w:val="20"/>
        </w:rPr>
        <w:t xml:space="preserve">ADB-supported assessments emphasized </w:t>
      </w:r>
      <w:proofErr w:type="gramStart"/>
      <w:r w:rsidR="00752C92" w:rsidRPr="00A30C9B">
        <w:rPr>
          <w:rFonts w:ascii="Verdana" w:hAnsi="Verdana" w:cs="Times New Roman"/>
          <w:sz w:val="20"/>
          <w:szCs w:val="20"/>
        </w:rPr>
        <w:t>several corridor</w:t>
      </w:r>
      <w:proofErr w:type="gramEnd"/>
      <w:r w:rsidR="00752C92" w:rsidRPr="00A30C9B">
        <w:rPr>
          <w:rFonts w:ascii="Verdana" w:hAnsi="Verdana" w:cs="Times New Roman"/>
          <w:sz w:val="20"/>
          <w:szCs w:val="20"/>
        </w:rPr>
        <w:t xml:space="preserve"> advantages: proximity to markets, complementary labor and production structures, and existing transport links that could be upgraded at relatively low cost. Recent investments have focused on modernizing border crossing points, improving road and logistics infrastructure, and harmonizing customs and sanitary standards. These “soft infrastructure” reforms are as critical as physical upgrades, reducing transaction costs and uncertainty for businesses. </w:t>
      </w:r>
    </w:p>
    <w:p w14:paraId="162386A8" w14:textId="3BE3815D" w:rsidR="00785172" w:rsidRPr="00A30C9B" w:rsidRDefault="00752C92" w:rsidP="00775840">
      <w:pPr>
        <w:spacing w:after="0" w:line="240" w:lineRule="auto"/>
        <w:rPr>
          <w:rFonts w:ascii="Verdana" w:hAnsi="Verdana" w:cs="Times New Roman"/>
          <w:sz w:val="20"/>
          <w:szCs w:val="20"/>
        </w:rPr>
      </w:pPr>
      <w:r w:rsidRPr="00A30C9B">
        <w:rPr>
          <w:rFonts w:ascii="Verdana" w:hAnsi="Verdana" w:cs="Times New Roman"/>
          <w:sz w:val="20"/>
          <w:szCs w:val="20"/>
        </w:rPr>
        <w:t>This ADB’s evaluation illustrates the choices for Central Asian republics</w:t>
      </w:r>
      <w:r w:rsidR="00785172" w:rsidRPr="00A30C9B">
        <w:rPr>
          <w:rFonts w:ascii="Verdana" w:hAnsi="Verdana" w:cs="Times New Roman"/>
          <w:sz w:val="20"/>
          <w:szCs w:val="20"/>
        </w:rPr>
        <w:t>. The region can continue to produce integration declarations with limited practical impact, or it can invest in functional mechanisms that deliver measurable economic outcomes. The evolving partnership between Kazakhstan and Kyrgyzstan suggests that the latter path is increasingly viable.</w:t>
      </w:r>
      <w:r w:rsidRPr="00A30C9B">
        <w:rPr>
          <w:rFonts w:ascii="Verdana" w:hAnsi="Verdana" w:cs="Times New Roman"/>
          <w:sz w:val="20"/>
          <w:szCs w:val="20"/>
        </w:rPr>
        <w:t xml:space="preserve"> </w:t>
      </w:r>
      <w:r w:rsidR="00785172" w:rsidRPr="00A30C9B">
        <w:rPr>
          <w:rFonts w:ascii="Verdana" w:hAnsi="Verdana" w:cs="Times New Roman"/>
          <w:sz w:val="20"/>
          <w:szCs w:val="20"/>
        </w:rPr>
        <w:t xml:space="preserve">By anchoring integration in corridors, logistics hubs, and targeted industrial cooperation, the two countries are experimenting with a new model of regionalism—one that is pragmatic, incremental, and results-oriented. Supported by institutions such as </w:t>
      </w:r>
      <w:r w:rsidR="002B02E9" w:rsidRPr="00A30C9B">
        <w:rPr>
          <w:rFonts w:ascii="Verdana" w:hAnsi="Verdana" w:cs="Times New Roman"/>
          <w:sz w:val="20"/>
          <w:szCs w:val="20"/>
        </w:rPr>
        <w:t xml:space="preserve">ADB </w:t>
      </w:r>
      <w:r w:rsidR="00785172" w:rsidRPr="00A30C9B">
        <w:rPr>
          <w:rFonts w:ascii="Verdana" w:hAnsi="Verdana" w:cs="Times New Roman"/>
          <w:sz w:val="20"/>
          <w:szCs w:val="20"/>
        </w:rPr>
        <w:t>and reinforced by high-level political will, this approach moves integration from aspiration to implementation.</w:t>
      </w:r>
      <w:r w:rsidRPr="00A30C9B">
        <w:rPr>
          <w:rFonts w:ascii="Verdana" w:hAnsi="Verdana" w:cs="Times New Roman"/>
          <w:sz w:val="20"/>
          <w:szCs w:val="20"/>
        </w:rPr>
        <w:t xml:space="preserve"> </w:t>
      </w:r>
      <w:r w:rsidR="00785172" w:rsidRPr="00A30C9B">
        <w:rPr>
          <w:rFonts w:ascii="Verdana" w:hAnsi="Verdana" w:cs="Times New Roman"/>
          <w:sz w:val="20"/>
          <w:szCs w:val="20"/>
        </w:rPr>
        <w:t>If sustained and expanded, corridor-based integration could redefine economic cooperation across Central Asia. It offers a way to translate geography into advantage, proximity into productivity, and political goodwill into shared growth. In doing so, it may finally allow the region to move from declarations to durable economic corridors—and, ultimately, toward a genuinely integrated economic space.</w:t>
      </w:r>
    </w:p>
    <w:p w14:paraId="6F78D10F" w14:textId="513D3A5F" w:rsidR="00752C92" w:rsidRPr="004A73B9" w:rsidRDefault="00752C92" w:rsidP="00775840">
      <w:pPr>
        <w:spacing w:after="0" w:line="240" w:lineRule="auto"/>
        <w:rPr>
          <w:rFonts w:ascii="Verdana" w:hAnsi="Verdana" w:cs="Times New Roman"/>
          <w:sz w:val="20"/>
          <w:szCs w:val="20"/>
        </w:rPr>
      </w:pPr>
      <w:r w:rsidRPr="00A30C9B">
        <w:rPr>
          <w:rFonts w:ascii="Verdana" w:hAnsi="Verdana" w:cs="Times New Roman"/>
          <w:b/>
          <w:bCs/>
          <w:sz w:val="20"/>
          <w:szCs w:val="20"/>
        </w:rPr>
        <w:t>AUTHOR’S BIO: </w:t>
      </w:r>
      <w:r w:rsidRPr="004A73B9">
        <w:rPr>
          <w:rFonts w:ascii="Verdana" w:hAnsi="Verdana" w:cs="Times New Roman"/>
          <w:sz w:val="20"/>
          <w:szCs w:val="20"/>
        </w:rPr>
        <w:t>Rafis Abazov, PhD, is a director of the Institute for Green and Sustainable Development at Kazakh National Agrarian Research University. He is author of The Culture and Customs of the Central Asian Republics (2007), An Effective Project Manager (2025) and some others. He has been an executive manager for the Global Hub of the United Nations Academic Impact (UNAI) on Sustainability in Kazakhstan since 2014 and facilitated the International Model UN New Silk Way conference in Afghanistan and other Central Asian countries.</w:t>
      </w:r>
    </w:p>
    <w:p w14:paraId="37F50A5D" w14:textId="77777777" w:rsidR="004C28AF" w:rsidRPr="00A30C9B" w:rsidRDefault="004C28AF" w:rsidP="00775840">
      <w:pPr>
        <w:spacing w:after="0" w:line="240" w:lineRule="auto"/>
        <w:rPr>
          <w:rFonts w:ascii="Verdana" w:hAnsi="Verdana" w:cs="Times New Roman"/>
          <w:sz w:val="20"/>
          <w:szCs w:val="20"/>
        </w:rPr>
      </w:pPr>
    </w:p>
    <w:sectPr w:rsidR="004C28AF" w:rsidRPr="00A30C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72"/>
    <w:rsid w:val="000647C4"/>
    <w:rsid w:val="000F6A72"/>
    <w:rsid w:val="00125B39"/>
    <w:rsid w:val="002A2F45"/>
    <w:rsid w:val="002B02E9"/>
    <w:rsid w:val="00351F7D"/>
    <w:rsid w:val="00373B33"/>
    <w:rsid w:val="003D3012"/>
    <w:rsid w:val="004A73B9"/>
    <w:rsid w:val="004B20B1"/>
    <w:rsid w:val="004C28AF"/>
    <w:rsid w:val="0057701B"/>
    <w:rsid w:val="00604E3B"/>
    <w:rsid w:val="00752C92"/>
    <w:rsid w:val="00775840"/>
    <w:rsid w:val="00785172"/>
    <w:rsid w:val="0088322E"/>
    <w:rsid w:val="0089032C"/>
    <w:rsid w:val="00986059"/>
    <w:rsid w:val="00A30C9B"/>
    <w:rsid w:val="00D8703D"/>
    <w:rsid w:val="00DD7206"/>
    <w:rsid w:val="00DE0341"/>
    <w:rsid w:val="00EC22F0"/>
    <w:rsid w:val="00F0161A"/>
    <w:rsid w:val="00FF5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465F3"/>
  <w15:chartTrackingRefBased/>
  <w15:docId w15:val="{DF21D9D0-35D7-4A63-81FF-E704CE41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851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7851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785172"/>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785172"/>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785172"/>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78517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8517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8517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8517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85172"/>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785172"/>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785172"/>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785172"/>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785172"/>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78517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8517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8517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85172"/>
    <w:rPr>
      <w:rFonts w:eastAsiaTheme="majorEastAsia" w:cstheme="majorBidi"/>
      <w:color w:val="272727" w:themeColor="text1" w:themeTint="D8"/>
    </w:rPr>
  </w:style>
  <w:style w:type="paragraph" w:styleId="Rubrik">
    <w:name w:val="Title"/>
    <w:basedOn w:val="Normal"/>
    <w:next w:val="Normal"/>
    <w:link w:val="RubrikChar"/>
    <w:uiPriority w:val="10"/>
    <w:qFormat/>
    <w:rsid w:val="007851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8517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8517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8517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8517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85172"/>
    <w:rPr>
      <w:i/>
      <w:iCs/>
      <w:color w:val="404040" w:themeColor="text1" w:themeTint="BF"/>
    </w:rPr>
  </w:style>
  <w:style w:type="paragraph" w:styleId="Liststycke">
    <w:name w:val="List Paragraph"/>
    <w:basedOn w:val="Normal"/>
    <w:uiPriority w:val="34"/>
    <w:qFormat/>
    <w:rsid w:val="00785172"/>
    <w:pPr>
      <w:ind w:left="720"/>
      <w:contextualSpacing/>
    </w:pPr>
  </w:style>
  <w:style w:type="character" w:styleId="Starkbetoning">
    <w:name w:val="Intense Emphasis"/>
    <w:basedOn w:val="Standardstycketeckensnitt"/>
    <w:uiPriority w:val="21"/>
    <w:qFormat/>
    <w:rsid w:val="00785172"/>
    <w:rPr>
      <w:i/>
      <w:iCs/>
      <w:color w:val="2F5496" w:themeColor="accent1" w:themeShade="BF"/>
    </w:rPr>
  </w:style>
  <w:style w:type="paragraph" w:styleId="Starktcitat">
    <w:name w:val="Intense Quote"/>
    <w:basedOn w:val="Normal"/>
    <w:next w:val="Normal"/>
    <w:link w:val="StarktcitatChar"/>
    <w:uiPriority w:val="30"/>
    <w:qFormat/>
    <w:rsid w:val="007851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785172"/>
    <w:rPr>
      <w:i/>
      <w:iCs/>
      <w:color w:val="2F5496" w:themeColor="accent1" w:themeShade="BF"/>
    </w:rPr>
  </w:style>
  <w:style w:type="character" w:styleId="Starkreferens">
    <w:name w:val="Intense Reference"/>
    <w:basedOn w:val="Standardstycketeckensnitt"/>
    <w:uiPriority w:val="32"/>
    <w:qFormat/>
    <w:rsid w:val="007851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ec6d502-3fa5-48b7-84da-dc5b378a28f1}" enabled="1" method="Standard" siteId="{bb218a9a-130d-42b3-8ea2-07fcd372a069}"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1313</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Rafis Abazov</dc:creator>
  <cp:keywords/>
  <dc:description/>
  <cp:lastModifiedBy>Nilsson Niklas</cp:lastModifiedBy>
  <cp:revision>7</cp:revision>
  <dcterms:created xsi:type="dcterms:W3CDTF">2026-02-05T15:18:00Z</dcterms:created>
  <dcterms:modified xsi:type="dcterms:W3CDTF">2026-02-05T15:21:00Z</dcterms:modified>
</cp:coreProperties>
</file>