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AEEA" w14:textId="77777777" w:rsidR="00994760" w:rsidRPr="00846D0D" w:rsidRDefault="00E104BB" w:rsidP="003E130D">
      <w:pPr>
        <w:spacing w:after="0" w:line="240" w:lineRule="auto"/>
        <w:rPr>
          <w:rFonts w:ascii="Verdana" w:hAnsi="Verdana"/>
          <w:b/>
          <w:bCs/>
          <w:sz w:val="20"/>
          <w:szCs w:val="20"/>
          <w:lang w:val="en-US"/>
        </w:rPr>
      </w:pPr>
      <w:r w:rsidRPr="00846D0D">
        <w:rPr>
          <w:rFonts w:ascii="Verdana" w:hAnsi="Verdana"/>
          <w:b/>
          <w:bCs/>
          <w:sz w:val="20"/>
          <w:szCs w:val="20"/>
          <w:lang w:val="en-US"/>
        </w:rPr>
        <w:t>THE EU-ARMENIA SUMMIT AND ARMENIA’S EUROPEAN ASPIRATIONS</w:t>
      </w:r>
    </w:p>
    <w:p w14:paraId="4EBBAEEB" w14:textId="77777777" w:rsidR="002F1A11" w:rsidRDefault="002F1A11" w:rsidP="003E130D">
      <w:pPr>
        <w:spacing w:after="0" w:line="240" w:lineRule="auto"/>
        <w:rPr>
          <w:rFonts w:ascii="Verdana" w:hAnsi="Verdana"/>
          <w:sz w:val="20"/>
          <w:szCs w:val="20"/>
          <w:lang w:val="en-US"/>
        </w:rPr>
      </w:pPr>
      <w:r w:rsidRPr="00E104BB">
        <w:rPr>
          <w:rFonts w:ascii="Verdana" w:hAnsi="Verdana"/>
          <w:sz w:val="20"/>
          <w:szCs w:val="20"/>
          <w:lang w:val="en-US"/>
        </w:rPr>
        <w:t>Suren Sargsyan</w:t>
      </w:r>
    </w:p>
    <w:p w14:paraId="4EBBAEEC" w14:textId="5C6576F9"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On May</w:t>
      </w:r>
      <w:r w:rsidR="003E130D">
        <w:rPr>
          <w:rFonts w:ascii="Verdana" w:hAnsi="Verdana"/>
          <w:sz w:val="20"/>
          <w:szCs w:val="20"/>
          <w:lang w:val="en-US"/>
        </w:rPr>
        <w:t xml:space="preserve"> </w:t>
      </w:r>
      <w:r w:rsidRPr="00E104BB">
        <w:rPr>
          <w:rFonts w:ascii="Verdana" w:hAnsi="Verdana"/>
          <w:sz w:val="20"/>
          <w:szCs w:val="20"/>
          <w:lang w:val="en-US"/>
        </w:rPr>
        <w:t xml:space="preserve">4-5, Yerevan hosted two significant events: the 8th Summit of the European Political Community (EPC) and the first </w:t>
      </w:r>
      <w:hyperlink r:id="rId4" w:history="1">
        <w:r w:rsidRPr="00E104BB">
          <w:rPr>
            <w:rStyle w:val="Hyperlnk"/>
            <w:rFonts w:ascii="Verdana" w:hAnsi="Verdana"/>
            <w:sz w:val="20"/>
            <w:szCs w:val="20"/>
            <w:lang w:val="en-US"/>
          </w:rPr>
          <w:t>Armenia–EU Summit</w:t>
        </w:r>
      </w:hyperlink>
      <w:r w:rsidRPr="00E104BB">
        <w:rPr>
          <w:rFonts w:ascii="Verdana" w:hAnsi="Verdana"/>
          <w:sz w:val="20"/>
          <w:szCs w:val="20"/>
          <w:lang w:val="en-US"/>
        </w:rPr>
        <w:t xml:space="preserve">. The gatherings brought together leaders from EU member states as well as representatives from Canada, the UK, and NATO. The Armenia–EU Summit concluded with a joint declaration and several cooperation agreements, prompting renewed debate over whether Armenia intends to pursue eventual membership in the EU. The question is particularly relevant given Prime Minister Nikol Pashinyan’s ambiguous statements regarding Armenia’s </w:t>
      </w:r>
      <w:hyperlink r:id="rId5" w:history="1">
        <w:r w:rsidRPr="00E104BB">
          <w:rPr>
            <w:rStyle w:val="Hyperlnk"/>
            <w:rFonts w:ascii="Verdana" w:hAnsi="Verdana"/>
            <w:sz w:val="20"/>
            <w:szCs w:val="20"/>
            <w:lang w:val="en-US"/>
          </w:rPr>
          <w:t>strategic orientation</w:t>
        </w:r>
      </w:hyperlink>
      <w:r w:rsidRPr="00E104BB">
        <w:rPr>
          <w:rFonts w:ascii="Verdana" w:hAnsi="Verdana"/>
          <w:sz w:val="20"/>
          <w:szCs w:val="20"/>
          <w:lang w:val="en-US"/>
        </w:rPr>
        <w:t xml:space="preserve">. While the government has expanded cooperation with the EU across numerous sectors, it has simultaneously emphasized that Armenia does not intend to </w:t>
      </w:r>
      <w:hyperlink r:id="rId6" w:history="1">
        <w:r w:rsidRPr="00E104BB">
          <w:rPr>
            <w:rStyle w:val="Hyperlnk"/>
            <w:rFonts w:ascii="Verdana" w:hAnsi="Verdana"/>
            <w:sz w:val="20"/>
            <w:szCs w:val="20"/>
            <w:lang w:val="en-US"/>
          </w:rPr>
          <w:t>withdraw</w:t>
        </w:r>
      </w:hyperlink>
      <w:r w:rsidRPr="00E104BB">
        <w:rPr>
          <w:rFonts w:ascii="Verdana" w:hAnsi="Verdana"/>
          <w:sz w:val="20"/>
          <w:szCs w:val="20"/>
          <w:lang w:val="en-US"/>
        </w:rPr>
        <w:t xml:space="preserve"> from the Eurasian Economic Union (EAEU). Consequently, it remains unclear whether Yerevan seeks eventual EU membership or merely aims to deepen relations with the EU while avoiding a confrontation with Russia. </w:t>
      </w:r>
    </w:p>
    <w:p w14:paraId="4EBBAEED" w14:textId="77777777" w:rsidR="00994760" w:rsidRPr="00E104BB" w:rsidRDefault="00E104BB" w:rsidP="003E130D">
      <w:pPr>
        <w:spacing w:after="0" w:line="240" w:lineRule="auto"/>
        <w:rPr>
          <w:rFonts w:ascii="Verdana" w:hAnsi="Verdana"/>
          <w:sz w:val="20"/>
          <w:szCs w:val="20"/>
          <w:lang w:val="en-US"/>
        </w:rPr>
      </w:pPr>
      <w:r w:rsidRPr="00846D0D">
        <w:rPr>
          <w:rFonts w:ascii="Verdana" w:hAnsi="Verdana"/>
          <w:b/>
          <w:bCs/>
          <w:sz w:val="20"/>
          <w:szCs w:val="20"/>
          <w:lang w:val="en-US"/>
        </w:rPr>
        <w:t>BACKGROUND:</w:t>
      </w:r>
      <w:r w:rsidR="008A555C">
        <w:rPr>
          <w:rFonts w:ascii="Verdana" w:hAnsi="Verdana"/>
          <w:b/>
          <w:bCs/>
          <w:sz w:val="20"/>
          <w:szCs w:val="20"/>
          <w:lang w:val="en-US"/>
        </w:rPr>
        <w:t xml:space="preserve"> </w:t>
      </w:r>
      <w:r w:rsidR="00994760" w:rsidRPr="00E104BB">
        <w:rPr>
          <w:rFonts w:ascii="Verdana" w:hAnsi="Verdana"/>
          <w:sz w:val="20"/>
          <w:szCs w:val="20"/>
          <w:lang w:val="en-US"/>
        </w:rPr>
        <w:t>Since Armenia’s 2018 “Velvet Revolution,” political observers, media outlets, and analysts have frequently argued that the country is gradually reorienting itself toward Europe. Many interpreted the rise of a reform-oriented government as a signal that Armenia would seek deeper integration with the EU and possibly pursue membership in the future. Such assessments often portrayed Armenia as distancing itself from Russia and adopting a more Western-oriented foreign policy.</w:t>
      </w:r>
    </w:p>
    <w:p w14:paraId="4EBBAEEE"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In practice, however, Armenia has not taken concrete steps toward EU accession during the years following the revolution. Instead, the government has continued a long-standing policy of strengthening ties with the EU while maintaining relations with Russia. This approach is consistent with the policies pursued by previous Armenian administrations, which also sought to diversify the country’s external partnerships.</w:t>
      </w:r>
    </w:p>
    <w:p w14:paraId="4EBBAEEF"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Armenia’s engagement with the EU predates the current government. Key </w:t>
      </w:r>
      <w:hyperlink r:id="rId7" w:history="1">
        <w:r w:rsidRPr="00E104BB">
          <w:rPr>
            <w:rStyle w:val="Hyperlnk"/>
            <w:rFonts w:ascii="Verdana" w:hAnsi="Verdana"/>
            <w:sz w:val="20"/>
            <w:szCs w:val="20"/>
            <w:lang w:val="en-US"/>
          </w:rPr>
          <w:t>milestones</w:t>
        </w:r>
      </w:hyperlink>
      <w:r w:rsidRPr="00E104BB">
        <w:rPr>
          <w:rFonts w:ascii="Verdana" w:hAnsi="Verdana"/>
          <w:sz w:val="20"/>
          <w:szCs w:val="20"/>
          <w:lang w:val="en-US"/>
        </w:rPr>
        <w:t xml:space="preserve"> include the signing of the Partnership and Cooperation Agreement in 1996, participation in the European </w:t>
      </w:r>
      <w:r w:rsidR="008A555C" w:rsidRPr="00E104BB">
        <w:rPr>
          <w:rFonts w:ascii="Verdana" w:hAnsi="Verdana"/>
          <w:sz w:val="20"/>
          <w:szCs w:val="20"/>
          <w:lang w:val="en-US"/>
        </w:rPr>
        <w:t>Neighborhood</w:t>
      </w:r>
      <w:r w:rsidRPr="00E104BB">
        <w:rPr>
          <w:rFonts w:ascii="Verdana" w:hAnsi="Verdana"/>
          <w:sz w:val="20"/>
          <w:szCs w:val="20"/>
          <w:lang w:val="en-US"/>
        </w:rPr>
        <w:t xml:space="preserve"> Policy from 2004, involvement in the Eastern Partnership launched in 2009, and the signing of the Comprehensive and Enhanced Partnership Agreement (CEPA) in 2017. These initiatives demonstrate that successive Armenian governments have viewed closer cooperation with Europe as beneficial for political, economic, and institutional development.</w:t>
      </w:r>
    </w:p>
    <w:p w14:paraId="4EBBAEF0"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At the same time, none of Armenia’s previous administrations formally declared EU membership as a strategic objective. The current government has likewise avoided making such a commitment. Instead, Armenian officials typically </w:t>
      </w:r>
      <w:hyperlink r:id="rId8" w:history="1">
        <w:r w:rsidRPr="00E104BB">
          <w:rPr>
            <w:rStyle w:val="Hyperlnk"/>
            <w:rFonts w:ascii="Verdana" w:hAnsi="Verdana"/>
            <w:sz w:val="20"/>
            <w:szCs w:val="20"/>
            <w:lang w:val="en-US"/>
          </w:rPr>
          <w:t>provide</w:t>
        </w:r>
      </w:hyperlink>
      <w:r w:rsidR="008A555C" w:rsidRPr="003E130D">
        <w:rPr>
          <w:lang w:val="en-US"/>
        </w:rPr>
        <w:t xml:space="preserve"> </w:t>
      </w:r>
      <w:hyperlink r:id="rId9" w:history="1">
        <w:r w:rsidRPr="00E104BB">
          <w:rPr>
            <w:rStyle w:val="Hyperlnk"/>
            <w:rFonts w:ascii="Verdana" w:hAnsi="Verdana"/>
            <w:sz w:val="20"/>
            <w:szCs w:val="20"/>
            <w:lang w:val="en-US"/>
          </w:rPr>
          <w:t>cautious</w:t>
        </w:r>
      </w:hyperlink>
      <w:r w:rsidRPr="00E104BB">
        <w:rPr>
          <w:rFonts w:ascii="Verdana" w:hAnsi="Verdana"/>
          <w:sz w:val="20"/>
          <w:szCs w:val="20"/>
          <w:lang w:val="en-US"/>
        </w:rPr>
        <w:t xml:space="preserve"> and often </w:t>
      </w:r>
      <w:hyperlink r:id="rId10" w:history="1">
        <w:r w:rsidRPr="00E104BB">
          <w:rPr>
            <w:rStyle w:val="Hyperlnk"/>
            <w:rFonts w:ascii="Verdana" w:hAnsi="Verdana"/>
            <w:sz w:val="20"/>
            <w:szCs w:val="20"/>
            <w:lang w:val="en-US"/>
          </w:rPr>
          <w:t>ambiguous</w:t>
        </w:r>
      </w:hyperlink>
      <w:r w:rsidRPr="00E104BB">
        <w:rPr>
          <w:rFonts w:ascii="Verdana" w:hAnsi="Verdana"/>
          <w:sz w:val="20"/>
          <w:szCs w:val="20"/>
          <w:lang w:val="en-US"/>
        </w:rPr>
        <w:t xml:space="preserve"> responses when asked about accession prospects. This ambiguity allows multiple interpretations and sustains public debate without requiring a definitive policy choice.</w:t>
      </w:r>
      <w:r w:rsidR="008A555C">
        <w:rPr>
          <w:rFonts w:ascii="Verdana" w:hAnsi="Verdana"/>
          <w:sz w:val="20"/>
          <w:szCs w:val="20"/>
          <w:lang w:val="en-US"/>
        </w:rPr>
        <w:t xml:space="preserve"> </w:t>
      </w:r>
      <w:r w:rsidRPr="00E104BB">
        <w:rPr>
          <w:rFonts w:ascii="Verdana" w:hAnsi="Verdana"/>
          <w:sz w:val="20"/>
          <w:szCs w:val="20"/>
          <w:lang w:val="en-US"/>
        </w:rPr>
        <w:t>Public opinion nevertheless remains broadly supportive of</w:t>
      </w:r>
      <w:r w:rsidR="008F0688" w:rsidRPr="00E104BB">
        <w:rPr>
          <w:rFonts w:ascii="Verdana" w:hAnsi="Verdana"/>
          <w:sz w:val="20"/>
          <w:szCs w:val="20"/>
          <w:lang w:val="en-US"/>
        </w:rPr>
        <w:t xml:space="preserve"> the prospect of EU </w:t>
      </w:r>
      <w:hyperlink r:id="rId11" w:history="1">
        <w:r w:rsidR="008F0688" w:rsidRPr="008A555C">
          <w:rPr>
            <w:rStyle w:val="Hyperlnk"/>
            <w:rFonts w:ascii="Verdana" w:hAnsi="Verdana"/>
            <w:sz w:val="20"/>
            <w:szCs w:val="20"/>
            <w:lang w:val="en-US"/>
          </w:rPr>
          <w:t>membership</w:t>
        </w:r>
      </w:hyperlink>
      <w:r w:rsidR="008F0688" w:rsidRPr="00E104BB">
        <w:rPr>
          <w:rFonts w:ascii="Verdana" w:hAnsi="Verdana"/>
          <w:sz w:val="20"/>
          <w:szCs w:val="20"/>
          <w:lang w:val="en-US"/>
        </w:rPr>
        <w:t xml:space="preserve"> in general, and visa liberalization in particular. </w:t>
      </w:r>
      <w:r w:rsidRPr="00E104BB">
        <w:rPr>
          <w:rFonts w:ascii="Verdana" w:hAnsi="Verdana"/>
          <w:sz w:val="20"/>
          <w:szCs w:val="20"/>
          <w:lang w:val="en-US"/>
        </w:rPr>
        <w:t xml:space="preserve">According to </w:t>
      </w:r>
      <w:hyperlink r:id="rId12" w:history="1">
        <w:r w:rsidR="008A555C" w:rsidRPr="008A555C">
          <w:rPr>
            <w:rStyle w:val="Hyperlnk"/>
            <w:rFonts w:ascii="Verdana" w:hAnsi="Verdana"/>
            <w:sz w:val="20"/>
            <w:szCs w:val="20"/>
            <w:lang w:val="en-US"/>
          </w:rPr>
          <w:t>surveys</w:t>
        </w:r>
      </w:hyperlink>
      <w:r w:rsidR="008A555C">
        <w:rPr>
          <w:rFonts w:ascii="Verdana" w:hAnsi="Verdana"/>
          <w:sz w:val="20"/>
          <w:szCs w:val="20"/>
          <w:lang w:val="en-US"/>
        </w:rPr>
        <w:t xml:space="preserve"> </w:t>
      </w:r>
      <w:r w:rsidRPr="00E104BB">
        <w:rPr>
          <w:rFonts w:ascii="Verdana" w:hAnsi="Verdana"/>
          <w:sz w:val="20"/>
          <w:szCs w:val="20"/>
          <w:lang w:val="en-US"/>
        </w:rPr>
        <w:t>conducted by the International Republican Institute, 51 percent of Armenians would support EU membership if a referendum were held, while 32 percent would vote against. Such attitudes make the topic politically attractive, particularly during election periods. By avoiding a clear rejection of membership aspirations, the government can appeal simultaneously to pro-European constituencies and to voters who favor maintaining strong relations with Russia.</w:t>
      </w:r>
    </w:p>
    <w:p w14:paraId="4EBBAEF1" w14:textId="77777777" w:rsidR="00994760" w:rsidRPr="00E104BB" w:rsidRDefault="00E104BB" w:rsidP="003E130D">
      <w:pPr>
        <w:spacing w:after="0" w:line="240" w:lineRule="auto"/>
        <w:rPr>
          <w:rFonts w:ascii="Verdana" w:hAnsi="Verdana"/>
          <w:sz w:val="20"/>
          <w:szCs w:val="20"/>
          <w:lang w:val="en-US"/>
        </w:rPr>
      </w:pPr>
      <w:r w:rsidRPr="00846D0D">
        <w:rPr>
          <w:rFonts w:ascii="Verdana" w:hAnsi="Verdana"/>
          <w:b/>
          <w:bCs/>
          <w:sz w:val="20"/>
          <w:szCs w:val="20"/>
          <w:lang w:val="en-US"/>
        </w:rPr>
        <w:t>IMPLICATIONS:</w:t>
      </w:r>
      <w:r w:rsidR="008A555C">
        <w:rPr>
          <w:rFonts w:ascii="Verdana" w:hAnsi="Verdana"/>
          <w:b/>
          <w:bCs/>
          <w:sz w:val="20"/>
          <w:szCs w:val="20"/>
          <w:lang w:val="en-US"/>
        </w:rPr>
        <w:t xml:space="preserve"> </w:t>
      </w:r>
      <w:r w:rsidR="00994760" w:rsidRPr="00E104BB">
        <w:rPr>
          <w:rFonts w:ascii="Verdana" w:hAnsi="Verdana"/>
          <w:sz w:val="20"/>
          <w:szCs w:val="20"/>
          <w:lang w:val="en-US"/>
        </w:rPr>
        <w:t>The EPC Summit in Yerevan was significant not only because of its scale and high-level participation but also because it was held in a non-EU member state. If Armenia genuinely intended to pursue EU accession, this gathering would have provided an ideal opportunity to announce such ambitions and seek political support from European leaders. Virtually all relevant decision-makers were present, creating a favorable diplomatic environment for such a declaration.</w:t>
      </w:r>
      <w:r w:rsidR="008A555C">
        <w:rPr>
          <w:rFonts w:ascii="Verdana" w:hAnsi="Verdana"/>
          <w:sz w:val="20"/>
          <w:szCs w:val="20"/>
          <w:lang w:val="en-US"/>
        </w:rPr>
        <w:t xml:space="preserve"> </w:t>
      </w:r>
      <w:r w:rsidR="00994760" w:rsidRPr="00E104BB">
        <w:rPr>
          <w:rFonts w:ascii="Verdana" w:hAnsi="Verdana"/>
          <w:sz w:val="20"/>
          <w:szCs w:val="20"/>
          <w:lang w:val="en-US"/>
        </w:rPr>
        <w:t>No such announcement was made, suggesting that EU membership is not currently a priority within Armenia’s foreign policy agenda. The absence of such a step indicates that Yerevan remains focused on deepening cooperation with the EU rather than initiating a formal accession process.</w:t>
      </w:r>
      <w:r w:rsidR="008A555C">
        <w:rPr>
          <w:rFonts w:ascii="Verdana" w:hAnsi="Verdana"/>
          <w:sz w:val="20"/>
          <w:szCs w:val="20"/>
          <w:lang w:val="en-US"/>
        </w:rPr>
        <w:t xml:space="preserve"> </w:t>
      </w:r>
      <w:r w:rsidR="00994760" w:rsidRPr="00E104BB">
        <w:rPr>
          <w:rFonts w:ascii="Verdana" w:hAnsi="Verdana"/>
          <w:sz w:val="20"/>
          <w:szCs w:val="20"/>
          <w:lang w:val="en-US"/>
        </w:rPr>
        <w:t xml:space="preserve">This situation reveals a degree of tension between public sentiment and official policy. While support for European integration appears relatively strong among the Armenian population, the government has avoided translating these preferences into a concrete </w:t>
      </w:r>
      <w:r w:rsidR="00994760" w:rsidRPr="00E104BB">
        <w:rPr>
          <w:rFonts w:ascii="Verdana" w:hAnsi="Verdana"/>
          <w:sz w:val="20"/>
          <w:szCs w:val="20"/>
          <w:lang w:val="en-US"/>
        </w:rPr>
        <w:lastRenderedPageBreak/>
        <w:t>strategic objective. The primary reason appears to be geopolitical rather than domestic.</w:t>
      </w:r>
      <w:r w:rsidR="008A555C">
        <w:rPr>
          <w:rFonts w:ascii="Verdana" w:hAnsi="Verdana"/>
          <w:sz w:val="20"/>
          <w:szCs w:val="20"/>
          <w:lang w:val="en-US"/>
        </w:rPr>
        <w:t xml:space="preserve"> </w:t>
      </w:r>
      <w:r w:rsidR="00994760" w:rsidRPr="00E104BB">
        <w:rPr>
          <w:rFonts w:ascii="Verdana" w:hAnsi="Verdana"/>
          <w:sz w:val="20"/>
          <w:szCs w:val="20"/>
          <w:lang w:val="en-US"/>
        </w:rPr>
        <w:t xml:space="preserve">The decision to pursue EU membership depends not only on Armenia’s political will but also on the willingness of the EU to accept new members. Enlargement remains a complex issue involving economic, political, institutional, and security considerations. Brussels evaluates candidate countries according to extensive criteria, including governance standards, economic performance, social development, and regional stability. Consequently, accession is a lengthy and demanding process even under </w:t>
      </w:r>
      <w:r w:rsidR="00910038" w:rsidRPr="00E104BB">
        <w:rPr>
          <w:rFonts w:ascii="Verdana" w:hAnsi="Verdana"/>
          <w:sz w:val="20"/>
          <w:szCs w:val="20"/>
          <w:lang w:val="en-US"/>
        </w:rPr>
        <w:t>favorable</w:t>
      </w:r>
      <w:r w:rsidR="00994760" w:rsidRPr="00E104BB">
        <w:rPr>
          <w:rFonts w:ascii="Verdana" w:hAnsi="Verdana"/>
          <w:sz w:val="20"/>
          <w:szCs w:val="20"/>
          <w:lang w:val="en-US"/>
        </w:rPr>
        <w:t xml:space="preserve"> circumstances.</w:t>
      </w:r>
    </w:p>
    <w:p w14:paraId="4EBBAEF2"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In Armenia’s case, additional geopolitical factors further complicate the issue. EU member states would inevitably consider Russia’s position when evaluating any Armenian application. Armenia remains a member of the EAEU and maintains extensive security ties with Russia. It also hosts Russia’s only military base in the South Caucasus. Given these realities, many European governments would be reluctant to support a process that could significantly increase tensions with Moscow.</w:t>
      </w:r>
    </w:p>
    <w:p w14:paraId="4EBBAEF3"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Moreover, EU enlargement requires unanimous approval by all member states. Even countries with stronger institutional links to Europe have faced lengthy and uncertain accession processes. As a result, Armenian membership, even if formally pursued, would likely require many years or even decades to achieve. It would also necessitate extensive economic, political, and legal reforms that could generate significant domestic costs.</w:t>
      </w:r>
    </w:p>
    <w:p w14:paraId="4EBBAEF4"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Comparisons with Georgia and Ukraine are often made in discussions of Armenia’s European aspirations. These cases provide useful reference points because both countries have actively pursued closer integration with the EU while facing strong Russian opposition. However, Armenia’s geopolitical circumstances differ in important ways.</w:t>
      </w:r>
    </w:p>
    <w:p w14:paraId="4EBBAEF5"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Unlike Georgia and Ukraine, Armenia does not share a border with Russia. This reduces certain direct security risks associated with Russian pressure. At the same time, Armenia lacks a direct land or maritime connection to any EU member state. This geographical reality limits economic integration and creates logistical challenges</w:t>
      </w:r>
      <w:r w:rsidR="00910038" w:rsidRPr="00E104BB">
        <w:rPr>
          <w:rFonts w:ascii="Verdana" w:hAnsi="Verdana"/>
          <w:sz w:val="20"/>
          <w:szCs w:val="20"/>
          <w:lang w:val="en-US"/>
        </w:rPr>
        <w:t>.</w:t>
      </w:r>
    </w:p>
    <w:p w14:paraId="4EBBAEF6" w14:textId="7D99FD1C"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Furthermore, the EU itself remains divided on the question of further enlargement. While some member states support </w:t>
      </w:r>
      <w:r w:rsidR="0059526B">
        <w:rPr>
          <w:rFonts w:ascii="Verdana" w:hAnsi="Verdana"/>
          <w:sz w:val="20"/>
          <w:szCs w:val="20"/>
          <w:lang w:val="en-US"/>
        </w:rPr>
        <w:t>enlargement</w:t>
      </w:r>
      <w:r w:rsidRPr="00E104BB">
        <w:rPr>
          <w:rFonts w:ascii="Verdana" w:hAnsi="Verdana"/>
          <w:sz w:val="20"/>
          <w:szCs w:val="20"/>
          <w:lang w:val="en-US"/>
        </w:rPr>
        <w:t>, others remain cautious due to concerns about institutional capacity, financial costs, migration, and security implications. The prolonged and uncertain experiences of countries such as Ukraine and Georgia illustrate that membership aspirations do not necessarily translate into rapid progress.</w:t>
      </w:r>
    </w:p>
    <w:p w14:paraId="4EBBAEF7"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Economic considerations also constrain Armenia’s options. Despite efforts to diversify its international partnerships, Russia remains Armenia’s principal economic partner. Russia accounts for a substantial share of Armenian exports, imports, investment flows, and </w:t>
      </w:r>
      <w:r w:rsidR="00910038" w:rsidRPr="00E104BB">
        <w:rPr>
          <w:rFonts w:ascii="Verdana" w:hAnsi="Verdana"/>
          <w:sz w:val="20"/>
          <w:szCs w:val="20"/>
          <w:lang w:val="en-US"/>
        </w:rPr>
        <w:t>labor</w:t>
      </w:r>
      <w:r w:rsidRPr="00E104BB">
        <w:rPr>
          <w:rFonts w:ascii="Verdana" w:hAnsi="Verdana"/>
          <w:sz w:val="20"/>
          <w:szCs w:val="20"/>
          <w:lang w:val="en-US"/>
        </w:rPr>
        <w:t xml:space="preserve"> migration. Any move toward EU accession would therefore have significant economic implications and could provoke responses from Moscow that Armenia would need to manage carefully.</w:t>
      </w:r>
    </w:p>
    <w:p w14:paraId="4EBBAEF8"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Regional dynamics further complicate the issue. Armenia must also consider the interests of </w:t>
      </w:r>
      <w:r w:rsidR="00910038" w:rsidRPr="00E104BB">
        <w:rPr>
          <w:rFonts w:ascii="Verdana" w:hAnsi="Verdana"/>
          <w:sz w:val="20"/>
          <w:szCs w:val="20"/>
          <w:lang w:val="en-US"/>
        </w:rPr>
        <w:t>neighboring</w:t>
      </w:r>
      <w:r w:rsidRPr="00E104BB">
        <w:rPr>
          <w:rFonts w:ascii="Verdana" w:hAnsi="Verdana"/>
          <w:sz w:val="20"/>
          <w:szCs w:val="20"/>
          <w:lang w:val="en-US"/>
        </w:rPr>
        <w:t xml:space="preserve"> Iran. Although EU membership does not automatically imply NATO membership, Tehran could interpret such a move as part of a broader Western geopolitical alignment. Given the importance of Armenian-Iranian relations, Yerevan is unlikely to disregard Iranian concerns.</w:t>
      </w:r>
    </w:p>
    <w:p w14:paraId="4EBBAEF9"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The position of the </w:t>
      </w:r>
      <w:r w:rsidR="00910038" w:rsidRPr="00E104BB">
        <w:rPr>
          <w:rFonts w:ascii="Verdana" w:hAnsi="Verdana"/>
          <w:sz w:val="20"/>
          <w:szCs w:val="20"/>
          <w:lang w:val="en-US"/>
        </w:rPr>
        <w:t xml:space="preserve">U.S. </w:t>
      </w:r>
      <w:r w:rsidRPr="00E104BB">
        <w:rPr>
          <w:rFonts w:ascii="Verdana" w:hAnsi="Verdana"/>
          <w:sz w:val="20"/>
          <w:szCs w:val="20"/>
          <w:lang w:val="en-US"/>
        </w:rPr>
        <w:t xml:space="preserve">adds another layer of complexity. Although Washington generally supports European stability and cooperation, </w:t>
      </w:r>
      <w:r w:rsidR="00910038" w:rsidRPr="00E104BB">
        <w:rPr>
          <w:rFonts w:ascii="Verdana" w:hAnsi="Verdana"/>
          <w:sz w:val="20"/>
          <w:szCs w:val="20"/>
          <w:lang w:val="en-US"/>
        </w:rPr>
        <w:t xml:space="preserve">U.S. engagement in the South Caucasus has focused primarily on regional stability, economic connectivity, and broader geopolitical initiatives while </w:t>
      </w:r>
      <w:r w:rsidRPr="00E104BB">
        <w:rPr>
          <w:rFonts w:ascii="Verdana" w:hAnsi="Verdana"/>
          <w:sz w:val="20"/>
          <w:szCs w:val="20"/>
          <w:lang w:val="en-US"/>
        </w:rPr>
        <w:t xml:space="preserve">Armenia’s potential EU accession </w:t>
      </w:r>
      <w:r w:rsidR="00910038" w:rsidRPr="00E104BB">
        <w:rPr>
          <w:rFonts w:ascii="Verdana" w:hAnsi="Verdana"/>
          <w:sz w:val="20"/>
          <w:szCs w:val="20"/>
          <w:lang w:val="en-US"/>
        </w:rPr>
        <w:t xml:space="preserve">hardly factor into U.S. </w:t>
      </w:r>
      <w:r w:rsidRPr="00E104BB">
        <w:rPr>
          <w:rFonts w:ascii="Verdana" w:hAnsi="Verdana"/>
          <w:sz w:val="20"/>
          <w:szCs w:val="20"/>
          <w:lang w:val="en-US"/>
        </w:rPr>
        <w:t>strategic priorit</w:t>
      </w:r>
      <w:r w:rsidR="00910038" w:rsidRPr="00E104BB">
        <w:rPr>
          <w:rFonts w:ascii="Verdana" w:hAnsi="Verdana"/>
          <w:sz w:val="20"/>
          <w:szCs w:val="20"/>
          <w:lang w:val="en-US"/>
        </w:rPr>
        <w:t>ies</w:t>
      </w:r>
      <w:r w:rsidRPr="00E104BB">
        <w:rPr>
          <w:rFonts w:ascii="Verdana" w:hAnsi="Verdana"/>
          <w:sz w:val="20"/>
          <w:szCs w:val="20"/>
          <w:lang w:val="en-US"/>
        </w:rPr>
        <w:t xml:space="preserve">. </w:t>
      </w:r>
    </w:p>
    <w:p w14:paraId="4EBBAEFA"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Among these constraints, Russia’s influence remains the most significant. Armenia’s security dependence, economic integration, and geographic realities create structural limitations that make a rapid strategic shift toward EU membership highly unlikely.</w:t>
      </w:r>
    </w:p>
    <w:p w14:paraId="4EBBAEFB" w14:textId="77777777" w:rsidR="00994760"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These factors also raise a broader question: if neither Armenia nor the EU is seriously pursuing accession, what was the primary purpose of the summit? </w:t>
      </w:r>
      <w:r w:rsidR="009B27AD" w:rsidRPr="00E104BB">
        <w:rPr>
          <w:rFonts w:ascii="Verdana" w:hAnsi="Verdana"/>
          <w:sz w:val="20"/>
          <w:szCs w:val="20"/>
          <w:lang w:val="en-US"/>
        </w:rPr>
        <w:t xml:space="preserve">Plausibly, </w:t>
      </w:r>
      <w:r w:rsidRPr="00E104BB">
        <w:rPr>
          <w:rFonts w:ascii="Verdana" w:hAnsi="Verdana"/>
          <w:sz w:val="20"/>
          <w:szCs w:val="20"/>
          <w:lang w:val="en-US"/>
        </w:rPr>
        <w:t xml:space="preserve">the event was intended primarily as a demonstration of political support for Prime Minister Pashinyan and his government ahead of </w:t>
      </w:r>
      <w:r w:rsidR="009B27AD" w:rsidRPr="00E104BB">
        <w:rPr>
          <w:rFonts w:ascii="Verdana" w:hAnsi="Verdana"/>
          <w:sz w:val="20"/>
          <w:szCs w:val="20"/>
          <w:lang w:val="en-US"/>
        </w:rPr>
        <w:t xml:space="preserve">the June 7 </w:t>
      </w:r>
      <w:r w:rsidRPr="00E104BB">
        <w:rPr>
          <w:rFonts w:ascii="Verdana" w:hAnsi="Verdana"/>
          <w:sz w:val="20"/>
          <w:szCs w:val="20"/>
          <w:lang w:val="en-US"/>
        </w:rPr>
        <w:t>parliamentary elections. Hosting such a high-profile international gathering enhanced Armenia’s diplomatic visibility while reinforcing the government’s image as a credible partner for Europe.</w:t>
      </w:r>
    </w:p>
    <w:p w14:paraId="4EBBAEFC" w14:textId="77777777" w:rsidR="00994760" w:rsidRPr="00E104BB" w:rsidRDefault="00E104BB" w:rsidP="003E130D">
      <w:pPr>
        <w:spacing w:after="0" w:line="240" w:lineRule="auto"/>
        <w:rPr>
          <w:rFonts w:ascii="Verdana" w:hAnsi="Verdana"/>
          <w:sz w:val="20"/>
          <w:szCs w:val="20"/>
          <w:lang w:val="en-US"/>
        </w:rPr>
      </w:pPr>
      <w:r w:rsidRPr="00846D0D">
        <w:rPr>
          <w:rFonts w:ascii="Verdana" w:hAnsi="Verdana"/>
          <w:b/>
          <w:bCs/>
          <w:sz w:val="20"/>
          <w:szCs w:val="20"/>
          <w:lang w:val="en-US"/>
        </w:rPr>
        <w:lastRenderedPageBreak/>
        <w:t>CONCLUSIONS:</w:t>
      </w:r>
      <w:r w:rsidR="008A555C">
        <w:rPr>
          <w:rFonts w:ascii="Verdana" w:hAnsi="Verdana"/>
          <w:b/>
          <w:bCs/>
          <w:sz w:val="20"/>
          <w:szCs w:val="20"/>
          <w:lang w:val="en-US"/>
        </w:rPr>
        <w:t xml:space="preserve"> </w:t>
      </w:r>
      <w:r w:rsidR="009B27AD" w:rsidRPr="00E104BB">
        <w:rPr>
          <w:rFonts w:ascii="Verdana" w:hAnsi="Verdana"/>
          <w:sz w:val="20"/>
          <w:szCs w:val="20"/>
          <w:lang w:val="en-US"/>
        </w:rPr>
        <w:t xml:space="preserve">There is currently little to suggest that </w:t>
      </w:r>
      <w:r w:rsidR="00994760" w:rsidRPr="00E104BB">
        <w:rPr>
          <w:rFonts w:ascii="Verdana" w:hAnsi="Verdana"/>
          <w:sz w:val="20"/>
          <w:szCs w:val="20"/>
          <w:lang w:val="en-US"/>
        </w:rPr>
        <w:t>Armenia regard</w:t>
      </w:r>
      <w:r w:rsidR="009B27AD" w:rsidRPr="00E104BB">
        <w:rPr>
          <w:rFonts w:ascii="Verdana" w:hAnsi="Verdana"/>
          <w:sz w:val="20"/>
          <w:szCs w:val="20"/>
          <w:lang w:val="en-US"/>
        </w:rPr>
        <w:t>s</w:t>
      </w:r>
      <w:r w:rsidR="00994760" w:rsidRPr="00E104BB">
        <w:rPr>
          <w:rFonts w:ascii="Verdana" w:hAnsi="Verdana"/>
          <w:sz w:val="20"/>
          <w:szCs w:val="20"/>
          <w:lang w:val="en-US"/>
        </w:rPr>
        <w:t xml:space="preserve"> full EU membership as an immediate or realistic foreign policy objective. Although the government continues to expand cooperation with European institutions, it has avoided taking the political steps necessary to initiate a formal accession process. The absence of any membership declaration during the Armenia–EU Summit reinforces this assessment.</w:t>
      </w:r>
      <w:r w:rsidR="008A555C">
        <w:rPr>
          <w:rFonts w:ascii="Verdana" w:hAnsi="Verdana"/>
          <w:sz w:val="20"/>
          <w:szCs w:val="20"/>
          <w:lang w:val="en-US"/>
        </w:rPr>
        <w:t xml:space="preserve"> </w:t>
      </w:r>
      <w:r w:rsidR="00994760" w:rsidRPr="00E104BB">
        <w:rPr>
          <w:rFonts w:ascii="Verdana" w:hAnsi="Verdana"/>
          <w:sz w:val="20"/>
          <w:szCs w:val="20"/>
          <w:lang w:val="en-US"/>
        </w:rPr>
        <w:t xml:space="preserve">At the same time, none of the principal external actors </w:t>
      </w:r>
      <w:r w:rsidR="009B27AD" w:rsidRPr="00E104BB">
        <w:rPr>
          <w:rFonts w:ascii="Verdana" w:hAnsi="Verdana"/>
          <w:sz w:val="20"/>
          <w:szCs w:val="20"/>
          <w:lang w:val="en-US"/>
        </w:rPr>
        <w:t xml:space="preserve">have strong incentives to support or concede to </w:t>
      </w:r>
      <w:r w:rsidR="00994760" w:rsidRPr="00E104BB">
        <w:rPr>
          <w:rFonts w:ascii="Verdana" w:hAnsi="Verdana"/>
          <w:sz w:val="20"/>
          <w:szCs w:val="20"/>
          <w:lang w:val="en-US"/>
        </w:rPr>
        <w:t xml:space="preserve">Armenian accession. Russia remains firmly opposed to such a development, while the EU lacks a clear consensus on further enlargement. Iran would likely view the prospect with concern, and the </w:t>
      </w:r>
      <w:r w:rsidR="009B27AD" w:rsidRPr="00E104BB">
        <w:rPr>
          <w:rFonts w:ascii="Verdana" w:hAnsi="Verdana"/>
          <w:sz w:val="20"/>
          <w:szCs w:val="20"/>
          <w:lang w:val="en-US"/>
        </w:rPr>
        <w:t xml:space="preserve">U.S. interest in the issue is limited. </w:t>
      </w:r>
    </w:p>
    <w:p w14:paraId="4EBBAEFD" w14:textId="77777777" w:rsidR="001F70BE" w:rsidRDefault="009B27AD" w:rsidP="003E130D">
      <w:pPr>
        <w:spacing w:after="0" w:line="240" w:lineRule="auto"/>
        <w:rPr>
          <w:rFonts w:ascii="Verdana" w:hAnsi="Verdana"/>
          <w:sz w:val="20"/>
          <w:szCs w:val="20"/>
          <w:lang w:val="en-US"/>
        </w:rPr>
      </w:pPr>
      <w:r w:rsidRPr="00E104BB">
        <w:rPr>
          <w:rFonts w:ascii="Verdana" w:hAnsi="Verdana"/>
          <w:sz w:val="20"/>
          <w:szCs w:val="20"/>
          <w:lang w:val="en-US"/>
        </w:rPr>
        <w:t>D</w:t>
      </w:r>
      <w:r w:rsidR="00994760" w:rsidRPr="00E104BB">
        <w:rPr>
          <w:rFonts w:ascii="Verdana" w:hAnsi="Verdana"/>
          <w:sz w:val="20"/>
          <w:szCs w:val="20"/>
          <w:lang w:val="en-US"/>
        </w:rPr>
        <w:t xml:space="preserve">iscussions about EU membership </w:t>
      </w:r>
      <w:r w:rsidRPr="00E104BB">
        <w:rPr>
          <w:rFonts w:ascii="Verdana" w:hAnsi="Verdana"/>
          <w:sz w:val="20"/>
          <w:szCs w:val="20"/>
          <w:lang w:val="en-US"/>
        </w:rPr>
        <w:t xml:space="preserve">in Armenia </w:t>
      </w:r>
      <w:r w:rsidR="00994760" w:rsidRPr="00E104BB">
        <w:rPr>
          <w:rFonts w:ascii="Verdana" w:hAnsi="Verdana"/>
          <w:sz w:val="20"/>
          <w:szCs w:val="20"/>
          <w:lang w:val="en-US"/>
        </w:rPr>
        <w:t>often serve domestic political purposes rather than reflecting an actionable policy agenda. The issue remains attractive to many voters and therefore continues to feature prominently in political discourse. Nevertheless, Armenia’s current strategy appears to focus on maximizing cooperation with the EU while preserving functional relations with Russia and other regional actors.</w:t>
      </w:r>
    </w:p>
    <w:p w14:paraId="4EBBAEFE" w14:textId="77777777" w:rsidR="001D6042" w:rsidRPr="00E104BB" w:rsidRDefault="00994760" w:rsidP="003E130D">
      <w:pPr>
        <w:spacing w:after="0" w:line="240" w:lineRule="auto"/>
        <w:rPr>
          <w:rFonts w:ascii="Verdana" w:hAnsi="Verdana"/>
          <w:sz w:val="20"/>
          <w:szCs w:val="20"/>
          <w:lang w:val="en-US"/>
        </w:rPr>
      </w:pPr>
      <w:r w:rsidRPr="00E104BB">
        <w:rPr>
          <w:rFonts w:ascii="Verdana" w:hAnsi="Verdana"/>
          <w:sz w:val="20"/>
          <w:szCs w:val="20"/>
          <w:lang w:val="en-US"/>
        </w:rPr>
        <w:t xml:space="preserve">Accordingly, Armenia’s objective is best understood not as the pursuit of full EU membership but as the maintenance of deep political, economic, and institutional ties with the </w:t>
      </w:r>
      <w:r w:rsidR="009B27AD" w:rsidRPr="00E104BB">
        <w:rPr>
          <w:rFonts w:ascii="Verdana" w:hAnsi="Verdana"/>
          <w:sz w:val="20"/>
          <w:szCs w:val="20"/>
          <w:lang w:val="en-US"/>
        </w:rPr>
        <w:t xml:space="preserve">EU </w:t>
      </w:r>
      <w:r w:rsidRPr="00E104BB">
        <w:rPr>
          <w:rFonts w:ascii="Verdana" w:hAnsi="Verdana"/>
          <w:sz w:val="20"/>
          <w:szCs w:val="20"/>
          <w:lang w:val="en-US"/>
        </w:rPr>
        <w:t>without fundamentally challenging the existing regional balance of power.</w:t>
      </w:r>
    </w:p>
    <w:p w14:paraId="4EBBAEFF" w14:textId="77777777" w:rsidR="002F1A11" w:rsidRPr="00E104BB" w:rsidRDefault="002F1A11" w:rsidP="003E130D">
      <w:pPr>
        <w:spacing w:after="0" w:line="240" w:lineRule="auto"/>
        <w:rPr>
          <w:rFonts w:ascii="Verdana" w:hAnsi="Verdana"/>
          <w:sz w:val="20"/>
          <w:szCs w:val="20"/>
          <w:lang w:val="en-US"/>
        </w:rPr>
      </w:pPr>
      <w:r w:rsidRPr="00E104BB">
        <w:rPr>
          <w:rFonts w:ascii="Verdana" w:hAnsi="Verdana"/>
          <w:b/>
          <w:bCs/>
          <w:sz w:val="20"/>
          <w:szCs w:val="20"/>
          <w:lang w:val="en-US"/>
        </w:rPr>
        <w:t>AUTHOR’S BIO:</w:t>
      </w:r>
      <w:r w:rsidRPr="00E104BB">
        <w:rPr>
          <w:rFonts w:ascii="Verdana" w:hAnsi="Verdana"/>
          <w:sz w:val="20"/>
          <w:szCs w:val="20"/>
          <w:lang w:val="en-US"/>
        </w:rPr>
        <w:t> </w:t>
      </w:r>
    </w:p>
    <w:p w14:paraId="4EBBAF01" w14:textId="20A0395D" w:rsidR="002F1A11" w:rsidRPr="00E104BB" w:rsidRDefault="002F1A11" w:rsidP="003E130D">
      <w:pPr>
        <w:spacing w:after="0" w:line="240" w:lineRule="auto"/>
        <w:rPr>
          <w:rFonts w:ascii="Verdana" w:hAnsi="Verdana"/>
          <w:sz w:val="20"/>
          <w:szCs w:val="20"/>
          <w:lang w:val="en-US"/>
        </w:rPr>
      </w:pPr>
      <w:r w:rsidRPr="00E104BB">
        <w:rPr>
          <w:rFonts w:ascii="Verdana" w:hAnsi="Verdana"/>
          <w:sz w:val="20"/>
          <w:szCs w:val="20"/>
          <w:lang w:val="en-US"/>
        </w:rPr>
        <w:t>Suren Sargsyan is a PhD candidate Political Science. He holds LLM degrees from Yerevan State University, the American University of Armenia, and Tufts University Fletcher School of Law and Diplomacy. He is the director of the Armenian Center for American Studies.</w:t>
      </w:r>
    </w:p>
    <w:sectPr w:rsidR="002F1A11" w:rsidRPr="00E104BB" w:rsidSect="00134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94760"/>
    <w:rsid w:val="0013461B"/>
    <w:rsid w:val="00146805"/>
    <w:rsid w:val="001D6042"/>
    <w:rsid w:val="001F70BE"/>
    <w:rsid w:val="002F1A11"/>
    <w:rsid w:val="003E130D"/>
    <w:rsid w:val="00472788"/>
    <w:rsid w:val="0059526B"/>
    <w:rsid w:val="005E2B62"/>
    <w:rsid w:val="005F21EC"/>
    <w:rsid w:val="0063311B"/>
    <w:rsid w:val="006B5A1C"/>
    <w:rsid w:val="00771C3C"/>
    <w:rsid w:val="007E3894"/>
    <w:rsid w:val="00846D0D"/>
    <w:rsid w:val="00860FAD"/>
    <w:rsid w:val="00862ED8"/>
    <w:rsid w:val="008A555C"/>
    <w:rsid w:val="008A6DB4"/>
    <w:rsid w:val="008F0688"/>
    <w:rsid w:val="00910038"/>
    <w:rsid w:val="00994760"/>
    <w:rsid w:val="009B27AD"/>
    <w:rsid w:val="00A27241"/>
    <w:rsid w:val="00B47EE6"/>
    <w:rsid w:val="00E104BB"/>
    <w:rsid w:val="00FD15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AEEA"/>
  <w15:docId w15:val="{CB90D31E-C7E1-4E48-9A9D-932CDB60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1B"/>
  </w:style>
  <w:style w:type="paragraph" w:styleId="Rubrik1">
    <w:name w:val="heading 1"/>
    <w:basedOn w:val="Normal"/>
    <w:next w:val="Normal"/>
    <w:link w:val="Rubrik1Char"/>
    <w:uiPriority w:val="9"/>
    <w:qFormat/>
    <w:rsid w:val="00994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94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947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947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947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9476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9476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9476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9476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47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947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947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947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947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947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47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47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4760"/>
    <w:rPr>
      <w:rFonts w:eastAsiaTheme="majorEastAsia" w:cstheme="majorBidi"/>
      <w:color w:val="272727" w:themeColor="text1" w:themeTint="D8"/>
    </w:rPr>
  </w:style>
  <w:style w:type="paragraph" w:styleId="Rubrik">
    <w:name w:val="Title"/>
    <w:basedOn w:val="Normal"/>
    <w:next w:val="Normal"/>
    <w:link w:val="RubrikChar"/>
    <w:uiPriority w:val="10"/>
    <w:qFormat/>
    <w:rsid w:val="0099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476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476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47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476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94760"/>
    <w:rPr>
      <w:i/>
      <w:iCs/>
      <w:color w:val="404040" w:themeColor="text1" w:themeTint="BF"/>
    </w:rPr>
  </w:style>
  <w:style w:type="paragraph" w:styleId="Liststycke">
    <w:name w:val="List Paragraph"/>
    <w:basedOn w:val="Normal"/>
    <w:uiPriority w:val="34"/>
    <w:qFormat/>
    <w:rsid w:val="00994760"/>
    <w:pPr>
      <w:ind w:left="720"/>
      <w:contextualSpacing/>
    </w:pPr>
  </w:style>
  <w:style w:type="character" w:styleId="Starkbetoning">
    <w:name w:val="Intense Emphasis"/>
    <w:basedOn w:val="Standardstycketeckensnitt"/>
    <w:uiPriority w:val="21"/>
    <w:qFormat/>
    <w:rsid w:val="00994760"/>
    <w:rPr>
      <w:i/>
      <w:iCs/>
      <w:color w:val="0F4761" w:themeColor="accent1" w:themeShade="BF"/>
    </w:rPr>
  </w:style>
  <w:style w:type="paragraph" w:styleId="Starktcitat">
    <w:name w:val="Intense Quote"/>
    <w:basedOn w:val="Normal"/>
    <w:next w:val="Normal"/>
    <w:link w:val="StarktcitatChar"/>
    <w:uiPriority w:val="30"/>
    <w:qFormat/>
    <w:rsid w:val="0099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94760"/>
    <w:rPr>
      <w:i/>
      <w:iCs/>
      <w:color w:val="0F4761" w:themeColor="accent1" w:themeShade="BF"/>
    </w:rPr>
  </w:style>
  <w:style w:type="character" w:styleId="Starkreferens">
    <w:name w:val="Intense Reference"/>
    <w:basedOn w:val="Standardstycketeckensnitt"/>
    <w:uiPriority w:val="32"/>
    <w:qFormat/>
    <w:rsid w:val="00994760"/>
    <w:rPr>
      <w:b/>
      <w:bCs/>
      <w:smallCaps/>
      <w:color w:val="0F4761" w:themeColor="accent1" w:themeShade="BF"/>
      <w:spacing w:val="5"/>
    </w:rPr>
  </w:style>
  <w:style w:type="character" w:styleId="Hyperlnk">
    <w:name w:val="Hyperlink"/>
    <w:basedOn w:val="Standardstycketeckensnitt"/>
    <w:uiPriority w:val="99"/>
    <w:unhideWhenUsed/>
    <w:rsid w:val="00146805"/>
    <w:rPr>
      <w:color w:val="467886" w:themeColor="hyperlink"/>
      <w:u w:val="single"/>
    </w:rPr>
  </w:style>
  <w:style w:type="character" w:customStyle="1" w:styleId="Olstomnmnande1">
    <w:name w:val="Olöst omnämnande1"/>
    <w:basedOn w:val="Standardstycketeckensnitt"/>
    <w:uiPriority w:val="99"/>
    <w:semiHidden/>
    <w:unhideWhenUsed/>
    <w:rsid w:val="00146805"/>
    <w:rPr>
      <w:color w:val="605E5C"/>
      <w:shd w:val="clear" w:color="auto" w:fill="E1DFDD"/>
    </w:rPr>
  </w:style>
  <w:style w:type="character" w:styleId="AnvndHyperlnk">
    <w:name w:val="FollowedHyperlink"/>
    <w:basedOn w:val="Standardstycketeckensnitt"/>
    <w:uiPriority w:val="99"/>
    <w:semiHidden/>
    <w:unhideWhenUsed/>
    <w:rsid w:val="00A27241"/>
    <w:rPr>
      <w:color w:val="96607D" w:themeColor="followedHyperlink"/>
      <w:u w:val="single"/>
    </w:rPr>
  </w:style>
  <w:style w:type="character" w:styleId="Kommentarsreferens">
    <w:name w:val="annotation reference"/>
    <w:basedOn w:val="Standardstycketeckensnitt"/>
    <w:uiPriority w:val="99"/>
    <w:semiHidden/>
    <w:unhideWhenUsed/>
    <w:rsid w:val="00771C3C"/>
    <w:rPr>
      <w:sz w:val="16"/>
      <w:szCs w:val="16"/>
    </w:rPr>
  </w:style>
  <w:style w:type="paragraph" w:styleId="Kommentarer">
    <w:name w:val="annotation text"/>
    <w:basedOn w:val="Normal"/>
    <w:link w:val="KommentarerChar"/>
    <w:uiPriority w:val="99"/>
    <w:unhideWhenUsed/>
    <w:rsid w:val="00771C3C"/>
    <w:pPr>
      <w:spacing w:line="240" w:lineRule="auto"/>
    </w:pPr>
    <w:rPr>
      <w:sz w:val="20"/>
      <w:szCs w:val="20"/>
    </w:rPr>
  </w:style>
  <w:style w:type="character" w:customStyle="1" w:styleId="KommentarerChar">
    <w:name w:val="Kommentarer Char"/>
    <w:basedOn w:val="Standardstycketeckensnitt"/>
    <w:link w:val="Kommentarer"/>
    <w:uiPriority w:val="99"/>
    <w:rsid w:val="00771C3C"/>
    <w:rPr>
      <w:sz w:val="20"/>
      <w:szCs w:val="20"/>
    </w:rPr>
  </w:style>
  <w:style w:type="paragraph" w:styleId="Kommentarsmne">
    <w:name w:val="annotation subject"/>
    <w:basedOn w:val="Kommentarer"/>
    <w:next w:val="Kommentarer"/>
    <w:link w:val="KommentarsmneChar"/>
    <w:uiPriority w:val="99"/>
    <w:semiHidden/>
    <w:unhideWhenUsed/>
    <w:rsid w:val="00771C3C"/>
    <w:rPr>
      <w:b/>
      <w:bCs/>
    </w:rPr>
  </w:style>
  <w:style w:type="character" w:customStyle="1" w:styleId="KommentarsmneChar">
    <w:name w:val="Kommentarsämne Char"/>
    <w:basedOn w:val="KommentarerChar"/>
    <w:link w:val="Kommentarsmne"/>
    <w:uiPriority w:val="99"/>
    <w:semiHidden/>
    <w:rsid w:val="00771C3C"/>
    <w:rPr>
      <w:b/>
      <w:bCs/>
      <w:sz w:val="20"/>
      <w:szCs w:val="20"/>
    </w:rPr>
  </w:style>
  <w:style w:type="paragraph" w:styleId="Ballongtext">
    <w:name w:val="Balloon Text"/>
    <w:basedOn w:val="Normal"/>
    <w:link w:val="BallongtextChar"/>
    <w:uiPriority w:val="99"/>
    <w:semiHidden/>
    <w:unhideWhenUsed/>
    <w:rsid w:val="008A55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A5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asiareview.com/11052026-armenias-pm-pashinyan-rejects-need-for-referendum-on-eu-pat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mfa.am/en/armenia-eu" TargetMode="External"/><Relationship Id="rId12" Type="http://schemas.openxmlformats.org/officeDocument/2006/relationships/hyperlink" Target="https://www.iri.org/news/iri-survey-finds-armenians-are-confident-in-the-electoral-process-and-continue-to-support-european-integration-ahead-of-parliamentary-ele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narmenian.net/eng/news/328927/?utm_source=chatgpt.com" TargetMode="External"/><Relationship Id="rId11" Type="http://schemas.openxmlformats.org/officeDocument/2006/relationships/hyperlink" Target="https://www.iri.org/news/iri-survey-finds-armenians-are-confident-in-the-electoral-process-and-continue-to-support-european-integration-ahead-of-parliamentary-elections/" TargetMode="External"/><Relationship Id="rId5" Type="http://schemas.openxmlformats.org/officeDocument/2006/relationships/hyperlink" Target="https://armenpress.am/en/article/1224978?utm_source=chatgpt.com" TargetMode="External"/><Relationship Id="rId10" Type="http://schemas.openxmlformats.org/officeDocument/2006/relationships/hyperlink" Target="https://civilnet.am/hy/news/1011527" TargetMode="External"/><Relationship Id="rId4" Type="http://schemas.openxmlformats.org/officeDocument/2006/relationships/hyperlink" Target="https://www.consilium.europa.eu/en/press/press-releases/2026/03/26/first-ever-eu-armenia-summit-to-take-place-on-4-and-5-may-2026/" TargetMode="External"/><Relationship Id="rId9" Type="http://schemas.openxmlformats.org/officeDocument/2006/relationships/hyperlink" Target="https://oc-media.org/armenia-to-increase-efforts-for-eu-membership-in-2026-says-foreign-minis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1873</Words>
  <Characters>9932</Characters>
  <Application>Microsoft Office Word</Application>
  <DocSecurity>0</DocSecurity>
  <Lines>82</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FHS</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Niklas</dc:creator>
  <cp:keywords/>
  <dc:description/>
  <cp:lastModifiedBy>Nilsson Niklas</cp:lastModifiedBy>
  <cp:revision>20</cp:revision>
  <dcterms:created xsi:type="dcterms:W3CDTF">2026-06-01T14:43:00Z</dcterms:created>
  <dcterms:modified xsi:type="dcterms:W3CDTF">2026-06-02T05:57:00Z</dcterms:modified>
</cp:coreProperties>
</file>