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5D9FF" w14:textId="3C80B416" w:rsidR="000E33B4" w:rsidRPr="000F3790" w:rsidRDefault="000F3790" w:rsidP="000F3790">
      <w:pPr>
        <w:rPr>
          <w:rFonts w:ascii="Verdana" w:hAnsi="Verdana"/>
          <w:b/>
          <w:bCs/>
          <w:sz w:val="20"/>
          <w:szCs w:val="20"/>
        </w:rPr>
      </w:pPr>
      <w:r w:rsidRPr="000F3790">
        <w:rPr>
          <w:rFonts w:ascii="Verdana" w:hAnsi="Verdana"/>
          <w:b/>
          <w:bCs/>
          <w:sz w:val="20"/>
          <w:szCs w:val="20"/>
        </w:rPr>
        <w:t xml:space="preserve">PASHINYAN’S VICTORY </w:t>
      </w:r>
      <w:r w:rsidRPr="000F3790">
        <w:rPr>
          <w:rFonts w:ascii="Verdana" w:hAnsi="Verdana"/>
          <w:b/>
          <w:bCs/>
          <w:sz w:val="20"/>
          <w:szCs w:val="20"/>
        </w:rPr>
        <w:t xml:space="preserve">AND </w:t>
      </w:r>
      <w:r w:rsidR="00F0548E" w:rsidRPr="000F3790">
        <w:rPr>
          <w:rFonts w:ascii="Verdana" w:hAnsi="Verdana"/>
          <w:b/>
          <w:bCs/>
          <w:sz w:val="20"/>
          <w:szCs w:val="20"/>
        </w:rPr>
        <w:t xml:space="preserve">ARMENIA’S </w:t>
      </w:r>
      <w:r w:rsidRPr="000F3790">
        <w:rPr>
          <w:rFonts w:ascii="Verdana" w:hAnsi="Verdana"/>
          <w:b/>
          <w:bCs/>
          <w:sz w:val="20"/>
          <w:szCs w:val="20"/>
        </w:rPr>
        <w:t xml:space="preserve">GEOPOLITICAL </w:t>
      </w:r>
      <w:r w:rsidR="00F0548E" w:rsidRPr="000F3790">
        <w:rPr>
          <w:rFonts w:ascii="Verdana" w:hAnsi="Verdana"/>
          <w:b/>
          <w:bCs/>
          <w:sz w:val="20"/>
          <w:szCs w:val="20"/>
        </w:rPr>
        <w:t>CHOICE</w:t>
      </w:r>
      <w:r w:rsidRPr="000F3790">
        <w:rPr>
          <w:rFonts w:ascii="Verdana" w:hAnsi="Verdana"/>
          <w:b/>
          <w:bCs/>
          <w:sz w:val="20"/>
          <w:szCs w:val="20"/>
        </w:rPr>
        <w:t xml:space="preserve"> </w:t>
      </w:r>
    </w:p>
    <w:p w14:paraId="47D15000" w14:textId="43F6D8AE" w:rsidR="00F0548E" w:rsidRPr="000F3790" w:rsidRDefault="00F0548E" w:rsidP="000F3790">
      <w:pPr>
        <w:rPr>
          <w:rFonts w:ascii="Verdana" w:hAnsi="Verdana"/>
          <w:b/>
          <w:bCs/>
          <w:sz w:val="20"/>
          <w:szCs w:val="20"/>
        </w:rPr>
      </w:pPr>
      <w:r w:rsidRPr="000F3790">
        <w:rPr>
          <w:rFonts w:ascii="Verdana" w:hAnsi="Verdana"/>
          <w:sz w:val="20"/>
          <w:szCs w:val="20"/>
        </w:rPr>
        <w:t>Irakli Laitadze</w:t>
      </w:r>
    </w:p>
    <w:p w14:paraId="144841F6" w14:textId="1F5D6BB0" w:rsidR="00215ED3" w:rsidRPr="000F3790" w:rsidRDefault="00055993" w:rsidP="000F3790">
      <w:pPr>
        <w:rPr>
          <w:rFonts w:ascii="Verdana" w:hAnsi="Verdana"/>
          <w:sz w:val="20"/>
          <w:szCs w:val="20"/>
        </w:rPr>
      </w:pPr>
      <w:r w:rsidRPr="000F3790">
        <w:rPr>
          <w:rFonts w:ascii="Verdana" w:hAnsi="Verdana"/>
          <w:sz w:val="20"/>
          <w:szCs w:val="20"/>
        </w:rPr>
        <w:t>On June</w:t>
      </w:r>
      <w:r w:rsidRPr="000F3790">
        <w:rPr>
          <w:rFonts w:ascii="Verdana" w:hAnsi="Verdana"/>
          <w:sz w:val="20"/>
          <w:szCs w:val="20"/>
        </w:rPr>
        <w:t xml:space="preserve"> 7</w:t>
      </w:r>
      <w:r w:rsidRPr="000F3790">
        <w:rPr>
          <w:rFonts w:ascii="Verdana" w:hAnsi="Verdana"/>
          <w:sz w:val="20"/>
          <w:szCs w:val="20"/>
        </w:rPr>
        <w:t>, Armenia held general elections with significant implications for both the country and the South Caucasus. Incumbent Prime Minister Nikol Pashinyan’s Civil Contract party won 49.81</w:t>
      </w:r>
      <w:r w:rsidR="0029144B" w:rsidRPr="000F3790">
        <w:rPr>
          <w:rFonts w:ascii="Verdana" w:hAnsi="Verdana"/>
          <w:sz w:val="20"/>
          <w:szCs w:val="20"/>
        </w:rPr>
        <w:t xml:space="preserve"> percent </w:t>
      </w:r>
      <w:r w:rsidRPr="000F3790">
        <w:rPr>
          <w:rFonts w:ascii="Verdana" w:hAnsi="Verdana"/>
          <w:sz w:val="20"/>
          <w:szCs w:val="20"/>
        </w:rPr>
        <w:t xml:space="preserve">of the </w:t>
      </w:r>
      <w:hyperlink r:id="rId7" w:history="1">
        <w:r w:rsidRPr="000F3790">
          <w:rPr>
            <w:rStyle w:val="Hyperlnk"/>
            <w:rFonts w:ascii="Verdana" w:hAnsi="Verdana"/>
            <w:sz w:val="20"/>
            <w:szCs w:val="20"/>
          </w:rPr>
          <w:t>vote</w:t>
        </w:r>
      </w:hyperlink>
      <w:r w:rsidRPr="000F3790">
        <w:rPr>
          <w:rFonts w:ascii="Verdana" w:hAnsi="Verdana"/>
          <w:sz w:val="20"/>
          <w:szCs w:val="20"/>
        </w:rPr>
        <w:t xml:space="preserve">. Although falling short of </w:t>
      </w:r>
      <w:r w:rsidR="00C773C5" w:rsidRPr="000F3790">
        <w:rPr>
          <w:rFonts w:ascii="Verdana" w:hAnsi="Verdana"/>
          <w:sz w:val="20"/>
          <w:szCs w:val="20"/>
        </w:rPr>
        <w:t xml:space="preserve">a majority, </w:t>
      </w:r>
      <w:r w:rsidRPr="000F3790">
        <w:rPr>
          <w:rFonts w:ascii="Verdana" w:hAnsi="Verdana"/>
          <w:sz w:val="20"/>
          <w:szCs w:val="20"/>
        </w:rPr>
        <w:t>the result still enables Pashinyan to form and lead the new government.</w:t>
      </w:r>
      <w:r w:rsidR="00430979" w:rsidRPr="000F3790">
        <w:rPr>
          <w:rFonts w:ascii="Verdana" w:hAnsi="Verdana"/>
          <w:sz w:val="20"/>
          <w:szCs w:val="20"/>
        </w:rPr>
        <w:t xml:space="preserve"> </w:t>
      </w:r>
      <w:r w:rsidR="00215ED3" w:rsidRPr="000F3790">
        <w:rPr>
          <w:rFonts w:ascii="Verdana" w:hAnsi="Verdana"/>
          <w:sz w:val="20"/>
          <w:szCs w:val="20"/>
        </w:rPr>
        <w:t>The victory of Civil Contract is not merely an outcome of domestic politics. It signifies a rupture with Russia’s sphere of influence and the institutionalization of a pro-Western course. The collapse of the pro-Russian opposition, despite unprecedented pressure from Moscow, indicates that Armenian citizens made a strategic choice in favor of genuine sovereignty and European integration. This choice is likely to produce long-term changes not only in Armenia but also in the security architecture of the South Caucasus.</w:t>
      </w:r>
    </w:p>
    <w:p w14:paraId="4F89E410" w14:textId="3FD3B3C3" w:rsidR="00306342" w:rsidRPr="000F3790" w:rsidRDefault="000F3790" w:rsidP="000F3790">
      <w:pPr>
        <w:rPr>
          <w:rFonts w:ascii="Verdana" w:hAnsi="Verdana"/>
          <w:b/>
          <w:bCs/>
          <w:sz w:val="20"/>
          <w:szCs w:val="20"/>
        </w:rPr>
      </w:pPr>
      <w:r w:rsidRPr="000F3790">
        <w:rPr>
          <w:rFonts w:ascii="Verdana" w:hAnsi="Verdana"/>
          <w:b/>
          <w:bCs/>
          <w:sz w:val="20"/>
          <w:szCs w:val="20"/>
        </w:rPr>
        <w:t>BACKGROUND</w:t>
      </w:r>
      <w:r w:rsidR="00550696" w:rsidRPr="000F3790">
        <w:rPr>
          <w:rFonts w:ascii="Verdana" w:hAnsi="Verdana"/>
          <w:b/>
          <w:bCs/>
          <w:sz w:val="20"/>
          <w:szCs w:val="20"/>
        </w:rPr>
        <w:t xml:space="preserve">: </w:t>
      </w:r>
      <w:r w:rsidR="00306342" w:rsidRPr="000F3790">
        <w:rPr>
          <w:rFonts w:ascii="Verdana" w:hAnsi="Verdana"/>
          <w:sz w:val="20"/>
          <w:szCs w:val="20"/>
        </w:rPr>
        <w:t>Armenia approached the 7 June elections amid intense geopolitical turbulence. The country stood at a crossroads between two incompatible trajectories: deeper Euro-Atlantic integration or a return to Russia’s sphere of influence. Understanding this choice requires examining developments in the recent past.</w:t>
      </w:r>
    </w:p>
    <w:p w14:paraId="14C84C53" w14:textId="26D6C6B0" w:rsidR="00D1219C" w:rsidRPr="000F3790" w:rsidRDefault="00D1219C" w:rsidP="000F3790">
      <w:pPr>
        <w:rPr>
          <w:rFonts w:ascii="Verdana" w:hAnsi="Verdana"/>
          <w:sz w:val="20"/>
          <w:szCs w:val="20"/>
        </w:rPr>
      </w:pPr>
      <w:r w:rsidRPr="000F3790">
        <w:rPr>
          <w:rFonts w:ascii="Verdana" w:hAnsi="Verdana"/>
          <w:sz w:val="20"/>
          <w:szCs w:val="20"/>
        </w:rPr>
        <w:t>Following its defeat in the 2020 Karabakh War, Armenia completely lost control of Nagorno-Karabakh in September 2023. The country was confronted with a harsh reality: Russia</w:t>
      </w:r>
      <w:r w:rsidR="00957B70" w:rsidRPr="000F3790">
        <w:rPr>
          <w:rFonts w:ascii="Verdana" w:hAnsi="Verdana"/>
          <w:sz w:val="20"/>
          <w:szCs w:val="20"/>
        </w:rPr>
        <w:t xml:space="preserve">, </w:t>
      </w:r>
      <w:r w:rsidRPr="000F3790">
        <w:rPr>
          <w:rFonts w:ascii="Verdana" w:hAnsi="Verdana"/>
          <w:sz w:val="20"/>
          <w:szCs w:val="20"/>
        </w:rPr>
        <w:t>its ally and partner within the Collective Security Treaty Organization (CSTO)</w:t>
      </w:r>
      <w:r w:rsidR="00957B70" w:rsidRPr="000F3790">
        <w:rPr>
          <w:rFonts w:ascii="Verdana" w:hAnsi="Verdana"/>
          <w:sz w:val="20"/>
          <w:szCs w:val="20"/>
        </w:rPr>
        <w:t xml:space="preserve">, </w:t>
      </w:r>
      <w:r w:rsidRPr="000F3790">
        <w:rPr>
          <w:rFonts w:ascii="Verdana" w:hAnsi="Verdana"/>
          <w:sz w:val="20"/>
          <w:szCs w:val="20"/>
        </w:rPr>
        <w:t xml:space="preserve">failed to defend Armenia during the conflict. As a result, Prime Minister Pashinyan’s government intensified </w:t>
      </w:r>
      <w:r w:rsidR="000E13E6" w:rsidRPr="000F3790">
        <w:rPr>
          <w:rFonts w:ascii="Verdana" w:hAnsi="Verdana"/>
          <w:sz w:val="20"/>
          <w:szCs w:val="20"/>
        </w:rPr>
        <w:t>the</w:t>
      </w:r>
      <w:r w:rsidRPr="000F3790">
        <w:rPr>
          <w:rFonts w:ascii="Verdana" w:hAnsi="Verdana"/>
          <w:sz w:val="20"/>
          <w:szCs w:val="20"/>
        </w:rPr>
        <w:t xml:space="preserve"> already ongoing process of </w:t>
      </w:r>
      <w:r w:rsidR="000E13E6" w:rsidRPr="000F3790">
        <w:rPr>
          <w:rFonts w:ascii="Verdana" w:hAnsi="Verdana"/>
          <w:sz w:val="20"/>
          <w:szCs w:val="20"/>
        </w:rPr>
        <w:t xml:space="preserve">deepening ties </w:t>
      </w:r>
      <w:r w:rsidRPr="000F3790">
        <w:rPr>
          <w:rFonts w:ascii="Verdana" w:hAnsi="Verdana"/>
          <w:sz w:val="20"/>
          <w:szCs w:val="20"/>
        </w:rPr>
        <w:t xml:space="preserve">with the EU and the </w:t>
      </w:r>
      <w:r w:rsidR="00957B70" w:rsidRPr="000F3790">
        <w:rPr>
          <w:rFonts w:ascii="Verdana" w:hAnsi="Verdana"/>
          <w:sz w:val="20"/>
          <w:szCs w:val="20"/>
        </w:rPr>
        <w:t>U.S.</w:t>
      </w:r>
      <w:r w:rsidRPr="000F3790">
        <w:rPr>
          <w:rFonts w:ascii="Verdana" w:hAnsi="Verdana"/>
          <w:sz w:val="20"/>
          <w:szCs w:val="20"/>
        </w:rPr>
        <w:t xml:space="preserve"> In March 2026, the Armenian parliament adopted a bill initiating the process of </w:t>
      </w:r>
      <w:hyperlink r:id="rId8" w:history="1">
        <w:r w:rsidRPr="000F3790">
          <w:rPr>
            <w:rStyle w:val="Hyperlnk"/>
            <w:rFonts w:ascii="Verdana" w:hAnsi="Verdana"/>
            <w:sz w:val="20"/>
            <w:szCs w:val="20"/>
          </w:rPr>
          <w:t>accession</w:t>
        </w:r>
      </w:hyperlink>
      <w:r w:rsidRPr="000F3790">
        <w:rPr>
          <w:rFonts w:ascii="Verdana" w:hAnsi="Verdana"/>
          <w:sz w:val="20"/>
          <w:szCs w:val="20"/>
        </w:rPr>
        <w:t xml:space="preserve"> to the </w:t>
      </w:r>
      <w:r w:rsidR="008A590D" w:rsidRPr="000F3790">
        <w:rPr>
          <w:rFonts w:ascii="Verdana" w:hAnsi="Verdana"/>
          <w:sz w:val="20"/>
          <w:szCs w:val="20"/>
        </w:rPr>
        <w:t>EU</w:t>
      </w:r>
      <w:r w:rsidRPr="000F3790">
        <w:rPr>
          <w:rFonts w:ascii="Verdana" w:hAnsi="Verdana"/>
          <w:sz w:val="20"/>
          <w:szCs w:val="20"/>
        </w:rPr>
        <w:t>. Consequently, the elections effectively became a referendum on Armenia’s foreign policy orientation and security strategy.</w:t>
      </w:r>
    </w:p>
    <w:p w14:paraId="489E438D" w14:textId="0D5DA73E" w:rsidR="006F1402" w:rsidRPr="000F3790" w:rsidRDefault="006F1402" w:rsidP="000F3790">
      <w:pPr>
        <w:rPr>
          <w:rFonts w:ascii="Verdana" w:hAnsi="Verdana"/>
          <w:sz w:val="20"/>
          <w:szCs w:val="20"/>
        </w:rPr>
      </w:pPr>
      <w:r w:rsidRPr="000F3790">
        <w:rPr>
          <w:rFonts w:ascii="Verdana" w:hAnsi="Verdana"/>
          <w:sz w:val="20"/>
          <w:szCs w:val="20"/>
        </w:rPr>
        <w:t xml:space="preserve">Russia responded with increased pressure. The election campaign was effectively transformed into an open confrontation between Moscow and Yerevan. Russian officials publicly warned that continued pursuit of a pro-Western course could </w:t>
      </w:r>
      <w:hyperlink r:id="rId9" w:history="1">
        <w:r w:rsidRPr="000F3790">
          <w:rPr>
            <w:rStyle w:val="Hyperlnk"/>
            <w:rFonts w:ascii="Verdana" w:hAnsi="Verdana"/>
            <w:sz w:val="20"/>
            <w:szCs w:val="20"/>
          </w:rPr>
          <w:t>expose</w:t>
        </w:r>
      </w:hyperlink>
      <w:r w:rsidRPr="000F3790">
        <w:rPr>
          <w:rFonts w:ascii="Verdana" w:hAnsi="Verdana"/>
          <w:sz w:val="20"/>
          <w:szCs w:val="20"/>
        </w:rPr>
        <w:t xml:space="preserve"> Armenia to a scenario similar to that experienced by Ukraine.</w:t>
      </w:r>
    </w:p>
    <w:p w14:paraId="72316F32" w14:textId="0F8240A9" w:rsidR="00DD3305" w:rsidRPr="000F3790" w:rsidRDefault="00DD3305" w:rsidP="000F3790">
      <w:pPr>
        <w:rPr>
          <w:rFonts w:ascii="Verdana" w:hAnsi="Verdana"/>
          <w:sz w:val="20"/>
          <w:szCs w:val="20"/>
        </w:rPr>
      </w:pPr>
      <w:r w:rsidRPr="000F3790">
        <w:rPr>
          <w:rFonts w:ascii="Verdana" w:hAnsi="Verdana"/>
          <w:sz w:val="20"/>
          <w:szCs w:val="20"/>
        </w:rPr>
        <w:t xml:space="preserve">The regional dimension is equally important. The South Caucasus is a region where the interests of Russia, Turkey, Iran, the </w:t>
      </w:r>
      <w:r w:rsidR="00585DDD" w:rsidRPr="000F3790">
        <w:rPr>
          <w:rFonts w:ascii="Verdana" w:hAnsi="Verdana"/>
          <w:sz w:val="20"/>
          <w:szCs w:val="20"/>
        </w:rPr>
        <w:t>U.S.</w:t>
      </w:r>
      <w:r w:rsidRPr="000F3790">
        <w:rPr>
          <w:rFonts w:ascii="Verdana" w:hAnsi="Verdana"/>
          <w:sz w:val="20"/>
          <w:szCs w:val="20"/>
        </w:rPr>
        <w:t xml:space="preserve">, the </w:t>
      </w:r>
      <w:r w:rsidR="00585DDD" w:rsidRPr="000F3790">
        <w:rPr>
          <w:rFonts w:ascii="Verdana" w:hAnsi="Verdana"/>
          <w:sz w:val="20"/>
          <w:szCs w:val="20"/>
        </w:rPr>
        <w:t xml:space="preserve">EU, </w:t>
      </w:r>
      <w:r w:rsidRPr="000F3790">
        <w:rPr>
          <w:rFonts w:ascii="Verdana" w:hAnsi="Verdana"/>
          <w:sz w:val="20"/>
          <w:szCs w:val="20"/>
        </w:rPr>
        <w:t xml:space="preserve">and increasingly China intersect. Armenia has traditionally </w:t>
      </w:r>
      <w:r w:rsidR="00E75C2B" w:rsidRPr="000F3790">
        <w:rPr>
          <w:rFonts w:ascii="Verdana" w:hAnsi="Verdana"/>
          <w:sz w:val="20"/>
          <w:szCs w:val="20"/>
        </w:rPr>
        <w:t xml:space="preserve">been </w:t>
      </w:r>
      <w:r w:rsidRPr="000F3790">
        <w:rPr>
          <w:rFonts w:ascii="Verdana" w:hAnsi="Verdana"/>
          <w:sz w:val="20"/>
          <w:szCs w:val="20"/>
        </w:rPr>
        <w:t xml:space="preserve">a stronghold of Russian influence in the region: Russian forces are stationed at the 102nd Military Base in Gyumri, an aviation component is based at </w:t>
      </w:r>
      <w:proofErr w:type="spellStart"/>
      <w:r w:rsidRPr="000F3790">
        <w:rPr>
          <w:rFonts w:ascii="Verdana" w:hAnsi="Verdana"/>
          <w:sz w:val="20"/>
          <w:szCs w:val="20"/>
        </w:rPr>
        <w:t>Erebuni</w:t>
      </w:r>
      <w:proofErr w:type="spellEnd"/>
      <w:r w:rsidRPr="000F3790">
        <w:rPr>
          <w:rFonts w:ascii="Verdana" w:hAnsi="Verdana"/>
          <w:sz w:val="20"/>
          <w:szCs w:val="20"/>
        </w:rPr>
        <w:t xml:space="preserve"> Air Base, and Armenia remains a member of the CSTO. Yerevan’s drift away from Moscow represents more than the loss of an ally; it is a strategic setback that could reshape the regional balance of power. This explains why the stakes were far higher than those of a </w:t>
      </w:r>
      <w:r w:rsidR="00565782" w:rsidRPr="000F3790">
        <w:rPr>
          <w:rFonts w:ascii="Verdana" w:hAnsi="Verdana"/>
          <w:sz w:val="20"/>
          <w:szCs w:val="20"/>
        </w:rPr>
        <w:t xml:space="preserve">regular </w:t>
      </w:r>
      <w:r w:rsidRPr="000F3790">
        <w:rPr>
          <w:rFonts w:ascii="Verdana" w:hAnsi="Verdana"/>
          <w:sz w:val="20"/>
          <w:szCs w:val="20"/>
        </w:rPr>
        <w:t xml:space="preserve">parliamentary </w:t>
      </w:r>
      <w:r w:rsidR="00565782" w:rsidRPr="000F3790">
        <w:rPr>
          <w:rFonts w:ascii="Verdana" w:hAnsi="Verdana"/>
          <w:sz w:val="20"/>
          <w:szCs w:val="20"/>
        </w:rPr>
        <w:t>election</w:t>
      </w:r>
      <w:r w:rsidRPr="000F3790">
        <w:rPr>
          <w:rFonts w:ascii="Verdana" w:hAnsi="Verdana"/>
          <w:sz w:val="20"/>
          <w:szCs w:val="20"/>
        </w:rPr>
        <w:t>.</w:t>
      </w:r>
    </w:p>
    <w:p w14:paraId="789C27BB" w14:textId="66F31D97" w:rsidR="00A970AE" w:rsidRPr="000F3790" w:rsidRDefault="000F3790" w:rsidP="000F3790">
      <w:pPr>
        <w:rPr>
          <w:rFonts w:ascii="Verdana" w:hAnsi="Verdana"/>
          <w:b/>
          <w:bCs/>
          <w:sz w:val="20"/>
          <w:szCs w:val="20"/>
        </w:rPr>
      </w:pPr>
      <w:r w:rsidRPr="000F3790">
        <w:rPr>
          <w:rFonts w:ascii="Verdana" w:hAnsi="Verdana"/>
          <w:b/>
          <w:bCs/>
          <w:sz w:val="20"/>
          <w:szCs w:val="20"/>
        </w:rPr>
        <w:t>IMPLICATIONS</w:t>
      </w:r>
      <w:r w:rsidR="00296F09" w:rsidRPr="000F3790">
        <w:rPr>
          <w:rFonts w:ascii="Verdana" w:hAnsi="Verdana"/>
          <w:b/>
          <w:bCs/>
          <w:sz w:val="20"/>
          <w:szCs w:val="20"/>
        </w:rPr>
        <w:t xml:space="preserve">: </w:t>
      </w:r>
      <w:r w:rsidR="00A970AE" w:rsidRPr="000F3790">
        <w:rPr>
          <w:rFonts w:ascii="Verdana" w:hAnsi="Verdana"/>
          <w:sz w:val="20"/>
          <w:szCs w:val="20"/>
        </w:rPr>
        <w:t xml:space="preserve">Russia’s attempt to influence the election outcome was not only unsuccessful but also counterproductive. In addition to extensive use of bots, disinformation, and fake news, reports suggest that Moscow was covertly preparing operations aimed at preventing Pashinyan’s re-election, allegedly including </w:t>
      </w:r>
      <w:hyperlink r:id="rId10" w:history="1">
        <w:r w:rsidR="00A970AE" w:rsidRPr="000F3790">
          <w:rPr>
            <w:rStyle w:val="Hyperlnk"/>
            <w:rFonts w:ascii="Verdana" w:hAnsi="Verdana"/>
            <w:sz w:val="20"/>
            <w:szCs w:val="20"/>
          </w:rPr>
          <w:t>scenarios</w:t>
        </w:r>
      </w:hyperlink>
      <w:r w:rsidR="00A970AE" w:rsidRPr="000F3790">
        <w:rPr>
          <w:rFonts w:ascii="Verdana" w:hAnsi="Verdana"/>
          <w:sz w:val="20"/>
          <w:szCs w:val="20"/>
        </w:rPr>
        <w:t xml:space="preserve"> involving his physical elimination.</w:t>
      </w:r>
    </w:p>
    <w:p w14:paraId="789D8445" w14:textId="300E9828" w:rsidR="00EC124E" w:rsidRPr="000F3790" w:rsidRDefault="00EC124E" w:rsidP="000F3790">
      <w:pPr>
        <w:rPr>
          <w:rFonts w:ascii="Verdana" w:hAnsi="Verdana"/>
          <w:sz w:val="20"/>
          <w:szCs w:val="20"/>
        </w:rPr>
      </w:pPr>
      <w:r w:rsidRPr="000F3790">
        <w:rPr>
          <w:rFonts w:ascii="Verdana" w:hAnsi="Verdana"/>
          <w:sz w:val="20"/>
          <w:szCs w:val="20"/>
        </w:rPr>
        <w:t xml:space="preserve">Russian economic pressure was systematic and sustained. Moscow banned </w:t>
      </w:r>
      <w:hyperlink r:id="rId11" w:history="1">
        <w:r w:rsidRPr="000F3790">
          <w:rPr>
            <w:rStyle w:val="Hyperlnk"/>
            <w:rFonts w:ascii="Verdana" w:hAnsi="Verdana"/>
            <w:sz w:val="20"/>
            <w:szCs w:val="20"/>
          </w:rPr>
          <w:t>imports</w:t>
        </w:r>
      </w:hyperlink>
      <w:r w:rsidRPr="000F3790">
        <w:rPr>
          <w:rFonts w:ascii="Verdana" w:hAnsi="Verdana"/>
          <w:sz w:val="20"/>
          <w:szCs w:val="20"/>
        </w:rPr>
        <w:t xml:space="preserve"> of Armenian Jermuk mineral water, halted sales of Armenian brandy and wine, and reduced imports of meat and fish products. On the eve of the elections, Russia sent an official letter </w:t>
      </w:r>
      <w:r w:rsidR="00015E7B" w:rsidRPr="000F3790">
        <w:rPr>
          <w:rFonts w:ascii="Verdana" w:hAnsi="Verdana"/>
          <w:sz w:val="20"/>
          <w:szCs w:val="20"/>
        </w:rPr>
        <w:t>signaling</w:t>
      </w:r>
      <w:r w:rsidRPr="000F3790">
        <w:rPr>
          <w:rFonts w:ascii="Verdana" w:hAnsi="Verdana"/>
          <w:sz w:val="20"/>
          <w:szCs w:val="20"/>
        </w:rPr>
        <w:t xml:space="preserve"> its intention to suspend exports of gas, oil, and diamonds. </w:t>
      </w:r>
      <w:proofErr w:type="spellStart"/>
      <w:r w:rsidRPr="000F3790">
        <w:rPr>
          <w:rFonts w:ascii="Verdana" w:hAnsi="Verdana"/>
          <w:sz w:val="20"/>
          <w:szCs w:val="20"/>
        </w:rPr>
        <w:t>Rosselkhoznadzor</w:t>
      </w:r>
      <w:proofErr w:type="spellEnd"/>
      <w:r w:rsidRPr="000F3790">
        <w:rPr>
          <w:rFonts w:ascii="Verdana" w:hAnsi="Verdana"/>
          <w:sz w:val="20"/>
          <w:szCs w:val="20"/>
        </w:rPr>
        <w:t xml:space="preserve">, Russia’s federal veterinary and phytosanitary agency, also </w:t>
      </w:r>
      <w:hyperlink r:id="rId12" w:history="1">
        <w:r w:rsidRPr="000F3790">
          <w:rPr>
            <w:rStyle w:val="Hyperlnk"/>
            <w:rFonts w:ascii="Verdana" w:hAnsi="Verdana"/>
            <w:sz w:val="20"/>
            <w:szCs w:val="20"/>
          </w:rPr>
          <w:t>banned</w:t>
        </w:r>
      </w:hyperlink>
      <w:r w:rsidRPr="000F3790">
        <w:rPr>
          <w:rFonts w:ascii="Verdana" w:hAnsi="Verdana"/>
          <w:sz w:val="20"/>
          <w:szCs w:val="20"/>
        </w:rPr>
        <w:t xml:space="preserve"> imports of Armenian tomatoes, cucumbers, potatoes, and dried fruits. To influence the vote, </w:t>
      </w:r>
      <w:hyperlink r:id="rId13" w:history="1">
        <w:r w:rsidRPr="000F3790">
          <w:rPr>
            <w:rStyle w:val="Hyperlnk"/>
            <w:rFonts w:ascii="Verdana" w:hAnsi="Verdana"/>
            <w:sz w:val="20"/>
            <w:szCs w:val="20"/>
          </w:rPr>
          <w:t>plans</w:t>
        </w:r>
      </w:hyperlink>
      <w:r w:rsidRPr="000F3790">
        <w:rPr>
          <w:rFonts w:ascii="Verdana" w:hAnsi="Verdana"/>
          <w:sz w:val="20"/>
          <w:szCs w:val="20"/>
        </w:rPr>
        <w:t xml:space="preserve"> were reportedly discussed to organize travel to Armenia for around 100,000 Russia-based Armenians.</w:t>
      </w:r>
    </w:p>
    <w:p w14:paraId="4FD4E5A6" w14:textId="15440ED4" w:rsidR="001E6562" w:rsidRPr="000F3790" w:rsidRDefault="001E6562" w:rsidP="000F3790">
      <w:pPr>
        <w:rPr>
          <w:rFonts w:ascii="Verdana" w:hAnsi="Verdana"/>
          <w:sz w:val="20"/>
          <w:szCs w:val="20"/>
        </w:rPr>
      </w:pPr>
      <w:r w:rsidRPr="000F3790">
        <w:rPr>
          <w:rFonts w:ascii="Verdana" w:hAnsi="Verdana"/>
          <w:sz w:val="20"/>
          <w:szCs w:val="20"/>
        </w:rPr>
        <w:lastRenderedPageBreak/>
        <w:t>The pro-Russian camp was represented by two key figures: Samvel Karapetyan and Ruben Vardanyan. Both embodied an alternative to Armenia’s Western-oriented course. Karapetyan, a Russian-Armenian billionaire and leader of the Strong Armenia electoral bloc, lived in Moscow until last year and, in addition to Armenian citizenship, held Russian and Cypriot citizenship. He alleged</w:t>
      </w:r>
      <w:r w:rsidR="00486313" w:rsidRPr="000F3790">
        <w:rPr>
          <w:rFonts w:ascii="Verdana" w:hAnsi="Verdana"/>
          <w:sz w:val="20"/>
          <w:szCs w:val="20"/>
        </w:rPr>
        <w:t>ly</w:t>
      </w:r>
      <w:r w:rsidRPr="000F3790">
        <w:rPr>
          <w:rFonts w:ascii="Verdana" w:hAnsi="Verdana"/>
          <w:sz w:val="20"/>
          <w:szCs w:val="20"/>
        </w:rPr>
        <w:t xml:space="preserve"> maintain</w:t>
      </w:r>
      <w:r w:rsidR="00486313" w:rsidRPr="000F3790">
        <w:rPr>
          <w:rFonts w:ascii="Verdana" w:hAnsi="Verdana"/>
          <w:sz w:val="20"/>
          <w:szCs w:val="20"/>
        </w:rPr>
        <w:t>s</w:t>
      </w:r>
      <w:r w:rsidRPr="000F3790">
        <w:rPr>
          <w:rFonts w:ascii="Verdana" w:hAnsi="Verdana"/>
          <w:sz w:val="20"/>
          <w:szCs w:val="20"/>
        </w:rPr>
        <w:t xml:space="preserve"> </w:t>
      </w:r>
      <w:hyperlink r:id="rId14" w:anchor="2" w:history="1">
        <w:r w:rsidRPr="000F3790">
          <w:rPr>
            <w:rStyle w:val="Hyperlnk"/>
            <w:rFonts w:ascii="Verdana" w:hAnsi="Verdana"/>
            <w:sz w:val="20"/>
            <w:szCs w:val="20"/>
          </w:rPr>
          <w:t>links</w:t>
        </w:r>
      </w:hyperlink>
      <w:r w:rsidRPr="000F3790">
        <w:rPr>
          <w:rFonts w:ascii="Verdana" w:hAnsi="Verdana"/>
          <w:sz w:val="20"/>
          <w:szCs w:val="20"/>
        </w:rPr>
        <w:t xml:space="preserve"> with Russia’s Federal Security Service (FSB). Since June 2025, Karapetyan has been under house arrest on charges of encouraging the seizure of state institutions. Moscow openly demanded his release and participation in the parliamentary elections, turning the issue into a political instrument of pressure on Yerevan.</w:t>
      </w:r>
    </w:p>
    <w:p w14:paraId="134A7DDE" w14:textId="77777777" w:rsidR="009B582C" w:rsidRPr="000F3790" w:rsidRDefault="009B582C" w:rsidP="000F3790">
      <w:pPr>
        <w:rPr>
          <w:rFonts w:ascii="Verdana" w:hAnsi="Verdana"/>
          <w:sz w:val="20"/>
          <w:szCs w:val="20"/>
        </w:rPr>
      </w:pPr>
      <w:r w:rsidRPr="000F3790">
        <w:rPr>
          <w:rFonts w:ascii="Verdana" w:hAnsi="Verdana"/>
          <w:sz w:val="20"/>
          <w:szCs w:val="20"/>
        </w:rPr>
        <w:t>Another key figure was Ruben Vardanyan, a Russian-Armenian billionaire who left Moscow to become State Minister of the self-proclaimed Republic of Nagorno-Karabakh. Arrested by Azerbaijani authorities while leaving Nagorno-Karabakh through the Lachin Corridor, he is currently serving a prison sentence in Azerbaijan (Meduza). Vardanyan became both a symbol of the lost Armenian Karabakh and a reminder of the failure of the pro-Russian course, which ultimately provided Armenia with neither security nor genuine independence.</w:t>
      </w:r>
    </w:p>
    <w:p w14:paraId="0F221EB3" w14:textId="07DAD574" w:rsidR="009B582C" w:rsidRPr="000F3790" w:rsidRDefault="009B582C" w:rsidP="000F3790">
      <w:pPr>
        <w:rPr>
          <w:rFonts w:ascii="Verdana" w:hAnsi="Verdana"/>
          <w:sz w:val="20"/>
          <w:szCs w:val="20"/>
        </w:rPr>
      </w:pPr>
      <w:r w:rsidRPr="000F3790">
        <w:rPr>
          <w:rFonts w:ascii="Verdana" w:hAnsi="Verdana"/>
          <w:sz w:val="20"/>
          <w:szCs w:val="20"/>
        </w:rPr>
        <w:t>The election results reflected the Armenian public’s increasingly negative attitude toward Russia. Samvel Karapetyan’s Strong Armenia alliance received 23.29</w:t>
      </w:r>
      <w:r w:rsidR="000D364F" w:rsidRPr="000F3790">
        <w:rPr>
          <w:rFonts w:ascii="Verdana" w:hAnsi="Verdana"/>
          <w:sz w:val="20"/>
          <w:szCs w:val="20"/>
        </w:rPr>
        <w:t xml:space="preserve"> percent </w:t>
      </w:r>
      <w:r w:rsidRPr="000F3790">
        <w:rPr>
          <w:rFonts w:ascii="Verdana" w:hAnsi="Verdana"/>
          <w:sz w:val="20"/>
          <w:szCs w:val="20"/>
        </w:rPr>
        <w:t>of the vote, while the Armenia bloc, led by former President Robert Kocharyan</w:t>
      </w:r>
      <w:r w:rsidR="006E6DDB" w:rsidRPr="000F3790">
        <w:rPr>
          <w:rFonts w:ascii="Verdana" w:hAnsi="Verdana"/>
          <w:sz w:val="20"/>
          <w:szCs w:val="20"/>
        </w:rPr>
        <w:t xml:space="preserve">, </w:t>
      </w:r>
      <w:r w:rsidRPr="000F3790">
        <w:rPr>
          <w:rFonts w:ascii="Verdana" w:hAnsi="Verdana"/>
          <w:sz w:val="20"/>
          <w:szCs w:val="20"/>
        </w:rPr>
        <w:t>a veteran of the First Nagorno-Karabakh War and a prominent advocate of close ties with Moscow</w:t>
      </w:r>
      <w:r w:rsidR="006E6DDB" w:rsidRPr="000F3790">
        <w:rPr>
          <w:rFonts w:ascii="Verdana" w:hAnsi="Verdana"/>
          <w:sz w:val="20"/>
          <w:szCs w:val="20"/>
        </w:rPr>
        <w:t xml:space="preserve">, </w:t>
      </w:r>
      <w:r w:rsidRPr="000F3790">
        <w:rPr>
          <w:rFonts w:ascii="Verdana" w:hAnsi="Verdana"/>
          <w:sz w:val="20"/>
          <w:szCs w:val="20"/>
        </w:rPr>
        <w:t>won 9.93</w:t>
      </w:r>
      <w:r w:rsidR="006E6DDB" w:rsidRPr="000F3790">
        <w:rPr>
          <w:rFonts w:ascii="Verdana" w:hAnsi="Verdana"/>
          <w:sz w:val="20"/>
          <w:szCs w:val="20"/>
        </w:rPr>
        <w:t xml:space="preserve"> percent</w:t>
      </w:r>
      <w:r w:rsidRPr="000F3790">
        <w:rPr>
          <w:rFonts w:ascii="Verdana" w:hAnsi="Verdana"/>
          <w:sz w:val="20"/>
          <w:szCs w:val="20"/>
        </w:rPr>
        <w:t>. Combined, the main pro-Russian forces secured only about two-thirds of the support received by Pashinyan’s Civil Contract party.</w:t>
      </w:r>
    </w:p>
    <w:p w14:paraId="47BA7EB1" w14:textId="39124082" w:rsidR="0087259D" w:rsidRPr="000F3790" w:rsidRDefault="0087259D" w:rsidP="000F3790">
      <w:pPr>
        <w:rPr>
          <w:rFonts w:ascii="Verdana" w:hAnsi="Verdana"/>
          <w:sz w:val="20"/>
          <w:szCs w:val="20"/>
        </w:rPr>
      </w:pPr>
      <w:r w:rsidRPr="000F3790">
        <w:rPr>
          <w:rFonts w:ascii="Verdana" w:hAnsi="Verdana"/>
          <w:sz w:val="20"/>
          <w:szCs w:val="20"/>
        </w:rPr>
        <w:t xml:space="preserve">Western countries, particularly the </w:t>
      </w:r>
      <w:r w:rsidRPr="000F3790">
        <w:rPr>
          <w:rFonts w:ascii="Verdana" w:hAnsi="Verdana"/>
          <w:sz w:val="20"/>
          <w:szCs w:val="20"/>
        </w:rPr>
        <w:t xml:space="preserve">U.S., </w:t>
      </w:r>
      <w:r w:rsidRPr="000F3790">
        <w:rPr>
          <w:rFonts w:ascii="Verdana" w:hAnsi="Verdana"/>
          <w:sz w:val="20"/>
          <w:szCs w:val="20"/>
        </w:rPr>
        <w:t xml:space="preserve">expressed unusually strong support for Nikol Pashinyan. On May </w:t>
      </w:r>
      <w:r w:rsidR="0095246D" w:rsidRPr="000F3790">
        <w:rPr>
          <w:rFonts w:ascii="Verdana" w:hAnsi="Verdana"/>
          <w:sz w:val="20"/>
          <w:szCs w:val="20"/>
        </w:rPr>
        <w:t>27</w:t>
      </w:r>
      <w:r w:rsidR="0095246D" w:rsidRPr="000F3790">
        <w:rPr>
          <w:rFonts w:ascii="Verdana" w:hAnsi="Verdana"/>
          <w:sz w:val="20"/>
          <w:szCs w:val="20"/>
        </w:rPr>
        <w:t xml:space="preserve">, </w:t>
      </w:r>
      <w:r w:rsidRPr="000F3790">
        <w:rPr>
          <w:rFonts w:ascii="Verdana" w:hAnsi="Verdana"/>
          <w:sz w:val="20"/>
          <w:szCs w:val="20"/>
        </w:rPr>
        <w:t xml:space="preserve">U.S. President Donald Trump publicly </w:t>
      </w:r>
      <w:hyperlink r:id="rId15" w:history="1">
        <w:r w:rsidRPr="000F3790">
          <w:rPr>
            <w:rStyle w:val="Hyperlnk"/>
            <w:rFonts w:ascii="Verdana" w:hAnsi="Verdana"/>
            <w:sz w:val="20"/>
            <w:szCs w:val="20"/>
          </w:rPr>
          <w:t>endorsed</w:t>
        </w:r>
      </w:hyperlink>
      <w:r w:rsidRPr="000F3790">
        <w:rPr>
          <w:rFonts w:ascii="Verdana" w:hAnsi="Verdana"/>
          <w:sz w:val="20"/>
          <w:szCs w:val="20"/>
        </w:rPr>
        <w:t xml:space="preserve"> Pashinyan on Truth Social. The previous day, U.S. Secretary of State Marco Rubio and Armenian Foreign Minister Ararat Mirzoyan signed several bilateral cooperation </w:t>
      </w:r>
      <w:hyperlink r:id="rId16" w:history="1">
        <w:r w:rsidRPr="000F3790">
          <w:rPr>
            <w:rStyle w:val="Hyperlnk"/>
            <w:rFonts w:ascii="Verdana" w:hAnsi="Verdana"/>
            <w:sz w:val="20"/>
            <w:szCs w:val="20"/>
          </w:rPr>
          <w:t>agreements</w:t>
        </w:r>
      </w:hyperlink>
      <w:r w:rsidRPr="000F3790">
        <w:rPr>
          <w:rFonts w:ascii="Verdana" w:hAnsi="Verdana"/>
          <w:sz w:val="20"/>
          <w:szCs w:val="20"/>
        </w:rPr>
        <w:t>, including a Comprehensive Strategic Partnership Charter. On June</w:t>
      </w:r>
      <w:r w:rsidR="00114AC4" w:rsidRPr="000F3790">
        <w:rPr>
          <w:rFonts w:ascii="Verdana" w:hAnsi="Verdana"/>
          <w:sz w:val="20"/>
          <w:szCs w:val="20"/>
        </w:rPr>
        <w:t xml:space="preserve"> </w:t>
      </w:r>
      <w:r w:rsidR="00114AC4" w:rsidRPr="000F3790">
        <w:rPr>
          <w:rFonts w:ascii="Verdana" w:hAnsi="Verdana"/>
          <w:sz w:val="20"/>
          <w:szCs w:val="20"/>
        </w:rPr>
        <w:t>4</w:t>
      </w:r>
      <w:r w:rsidRPr="000F3790">
        <w:rPr>
          <w:rFonts w:ascii="Verdana" w:hAnsi="Verdana"/>
          <w:sz w:val="20"/>
          <w:szCs w:val="20"/>
        </w:rPr>
        <w:t xml:space="preserve">, following a telephone conversation with Pashinyan, European Commission President Ursula von der Leyen announced that Brussels was preparing additional </w:t>
      </w:r>
      <w:hyperlink r:id="rId17" w:history="1">
        <w:r w:rsidRPr="000F3790">
          <w:rPr>
            <w:rStyle w:val="Hyperlnk"/>
            <w:rFonts w:ascii="Verdana" w:hAnsi="Verdana"/>
            <w:sz w:val="20"/>
            <w:szCs w:val="20"/>
          </w:rPr>
          <w:t>support</w:t>
        </w:r>
      </w:hyperlink>
      <w:r w:rsidRPr="000F3790">
        <w:rPr>
          <w:rFonts w:ascii="Verdana" w:hAnsi="Verdana"/>
          <w:sz w:val="20"/>
          <w:szCs w:val="20"/>
        </w:rPr>
        <w:t xml:space="preserve"> measures for Armenia, including €50 million in financial assistance.</w:t>
      </w:r>
    </w:p>
    <w:p w14:paraId="202ADBF1" w14:textId="7026B6BC" w:rsidR="00B7000F" w:rsidRPr="000F3790" w:rsidRDefault="00B7000F" w:rsidP="000F3790">
      <w:pPr>
        <w:rPr>
          <w:rFonts w:ascii="Verdana" w:hAnsi="Verdana"/>
          <w:sz w:val="20"/>
          <w:szCs w:val="20"/>
        </w:rPr>
      </w:pPr>
      <w:r w:rsidRPr="000F3790">
        <w:rPr>
          <w:rFonts w:ascii="Verdana" w:hAnsi="Verdana"/>
          <w:sz w:val="20"/>
          <w:szCs w:val="20"/>
        </w:rPr>
        <w:t xml:space="preserve">The 8th Summit of the European Political Community (EPC) was held in Yerevan on 4 May 2026, with the participation of Ukrainian President Volodymyr Zelensky. The event served as a clear </w:t>
      </w:r>
      <w:hyperlink r:id="rId18" w:history="1">
        <w:r w:rsidRPr="000F3790">
          <w:rPr>
            <w:rStyle w:val="Hyperlnk"/>
            <w:rFonts w:ascii="Verdana" w:hAnsi="Verdana"/>
            <w:sz w:val="20"/>
            <w:szCs w:val="20"/>
          </w:rPr>
          <w:t>signal</w:t>
        </w:r>
      </w:hyperlink>
      <w:r w:rsidRPr="000F3790">
        <w:rPr>
          <w:rFonts w:ascii="Verdana" w:hAnsi="Verdana"/>
          <w:sz w:val="20"/>
          <w:szCs w:val="20"/>
        </w:rPr>
        <w:t xml:space="preserve"> of Armenia’s emerging European orientation and identity. Almost simultaneously, Turkey partially </w:t>
      </w:r>
      <w:hyperlink r:id="rId19" w:history="1">
        <w:r w:rsidRPr="000F3790">
          <w:rPr>
            <w:rStyle w:val="Hyperlnk"/>
            <w:rFonts w:ascii="Verdana" w:hAnsi="Verdana"/>
            <w:sz w:val="20"/>
            <w:szCs w:val="20"/>
          </w:rPr>
          <w:t>lifted</w:t>
        </w:r>
      </w:hyperlink>
      <w:r w:rsidRPr="000F3790">
        <w:rPr>
          <w:rFonts w:ascii="Verdana" w:hAnsi="Verdana"/>
          <w:sz w:val="20"/>
          <w:szCs w:val="20"/>
        </w:rPr>
        <w:t xml:space="preserve"> the trade restrictions on Armenia that had been in place since 1993. The easing of this economic </w:t>
      </w:r>
      <w:r w:rsidR="003B264B" w:rsidRPr="000F3790">
        <w:rPr>
          <w:rFonts w:ascii="Verdana" w:hAnsi="Verdana"/>
          <w:sz w:val="20"/>
          <w:szCs w:val="20"/>
        </w:rPr>
        <w:t xml:space="preserve">embargo </w:t>
      </w:r>
      <w:r w:rsidRPr="000F3790">
        <w:rPr>
          <w:rFonts w:ascii="Verdana" w:hAnsi="Verdana"/>
          <w:sz w:val="20"/>
          <w:szCs w:val="20"/>
        </w:rPr>
        <w:t>marks a significant step toward the normalization of Armenian–Turkish relations and has the potential to reshape the region’s economic architecture.</w:t>
      </w:r>
    </w:p>
    <w:p w14:paraId="76322246" w14:textId="2F34BA2A" w:rsidR="00B4754B" w:rsidRPr="000F3790" w:rsidRDefault="00B4754B" w:rsidP="000F3790">
      <w:pPr>
        <w:rPr>
          <w:rFonts w:ascii="Verdana" w:hAnsi="Verdana"/>
          <w:sz w:val="20"/>
          <w:szCs w:val="20"/>
        </w:rPr>
      </w:pPr>
      <w:r w:rsidRPr="000F3790">
        <w:rPr>
          <w:rFonts w:ascii="Verdana" w:hAnsi="Verdana"/>
          <w:sz w:val="20"/>
          <w:szCs w:val="20"/>
        </w:rPr>
        <w:t>A stable, pro-Western Armenia would be better positioned to finalize a peace agreement with Azerbaijan and secure the full lifting of Turkey’s long-standing economic blockade. Under such circumstances, Armenia’s withdrawal from the CSTO could become a realistic prospect in the near future. This step would deprive Russia of the principal legal framework underpinning its military presence in Armenia, further accelerating the country’s geopolitical reorientation.</w:t>
      </w:r>
    </w:p>
    <w:p w14:paraId="3F393487" w14:textId="52C7367F" w:rsidR="00D45A08" w:rsidRPr="000F3790" w:rsidRDefault="00D45A08" w:rsidP="000F3790">
      <w:pPr>
        <w:rPr>
          <w:rFonts w:ascii="Verdana" w:hAnsi="Verdana"/>
          <w:sz w:val="20"/>
          <w:szCs w:val="20"/>
        </w:rPr>
      </w:pPr>
      <w:r w:rsidRPr="000F3790">
        <w:rPr>
          <w:rFonts w:ascii="Verdana" w:hAnsi="Verdana"/>
          <w:sz w:val="20"/>
          <w:szCs w:val="20"/>
        </w:rPr>
        <w:t xml:space="preserve">Armenia is expected to continue </w:t>
      </w:r>
      <w:r w:rsidR="00560367" w:rsidRPr="000F3790">
        <w:rPr>
          <w:rFonts w:ascii="Verdana" w:hAnsi="Verdana"/>
          <w:sz w:val="20"/>
          <w:szCs w:val="20"/>
        </w:rPr>
        <w:t xml:space="preserve">developing its relations </w:t>
      </w:r>
      <w:r w:rsidRPr="000F3790">
        <w:rPr>
          <w:rFonts w:ascii="Verdana" w:hAnsi="Verdana"/>
          <w:sz w:val="20"/>
          <w:szCs w:val="20"/>
        </w:rPr>
        <w:t xml:space="preserve">with the </w:t>
      </w:r>
      <w:r w:rsidR="00560367" w:rsidRPr="000F3790">
        <w:rPr>
          <w:rFonts w:ascii="Verdana" w:hAnsi="Verdana"/>
          <w:sz w:val="20"/>
          <w:szCs w:val="20"/>
        </w:rPr>
        <w:t xml:space="preserve">EU </w:t>
      </w:r>
      <w:r w:rsidRPr="000F3790">
        <w:rPr>
          <w:rFonts w:ascii="Verdana" w:hAnsi="Verdana"/>
          <w:sz w:val="20"/>
          <w:szCs w:val="20"/>
        </w:rPr>
        <w:t xml:space="preserve">while maintaining </w:t>
      </w:r>
      <w:hyperlink r:id="rId20" w:history="1">
        <w:r w:rsidRPr="000F3790">
          <w:rPr>
            <w:rStyle w:val="Hyperlnk"/>
            <w:rFonts w:ascii="Verdana" w:hAnsi="Verdana"/>
            <w:sz w:val="20"/>
            <w:szCs w:val="20"/>
          </w:rPr>
          <w:t>membership</w:t>
        </w:r>
      </w:hyperlink>
      <w:r w:rsidRPr="000F3790">
        <w:rPr>
          <w:rFonts w:ascii="Verdana" w:hAnsi="Verdana"/>
          <w:sz w:val="20"/>
          <w:szCs w:val="20"/>
        </w:rPr>
        <w:t xml:space="preserve"> in the Eurasian Economic Union, as confirmed by Prime Minister Pashinyan. This reflects tactical pragmatism rather than an ideological compromise: Armenia remains dependent on Russian gas imports and on the large Armenian diaspora residing in Russia. Nevertheless, the country’s strategic orientation toward Europe appears to have been firmly established.</w:t>
      </w:r>
    </w:p>
    <w:p w14:paraId="5547DD46" w14:textId="7B18EB94" w:rsidR="00403E5C" w:rsidRPr="000F3790" w:rsidRDefault="000F3790" w:rsidP="000F3790">
      <w:pPr>
        <w:rPr>
          <w:rFonts w:ascii="Verdana" w:hAnsi="Verdana"/>
          <w:sz w:val="20"/>
          <w:szCs w:val="20"/>
        </w:rPr>
      </w:pPr>
      <w:r w:rsidRPr="000F3790">
        <w:rPr>
          <w:rFonts w:ascii="Verdana" w:hAnsi="Verdana"/>
          <w:b/>
          <w:bCs/>
          <w:sz w:val="20"/>
          <w:szCs w:val="20"/>
        </w:rPr>
        <w:t>CONCLUSIONS</w:t>
      </w:r>
      <w:r w:rsidR="00550696" w:rsidRPr="000F3790">
        <w:rPr>
          <w:rFonts w:ascii="Verdana" w:hAnsi="Verdana"/>
          <w:b/>
          <w:bCs/>
          <w:sz w:val="20"/>
          <w:szCs w:val="20"/>
        </w:rPr>
        <w:t xml:space="preserve">: </w:t>
      </w:r>
      <w:r w:rsidR="00403E5C" w:rsidRPr="000F3790">
        <w:rPr>
          <w:rFonts w:ascii="Verdana" w:hAnsi="Verdana"/>
          <w:sz w:val="20"/>
          <w:szCs w:val="20"/>
        </w:rPr>
        <w:t xml:space="preserve">The elections of 7 June may prove to be a point of no return in the history of post-Soviet Armenia. Despite political pressure, economic coercion, and extensive </w:t>
      </w:r>
      <w:r w:rsidR="00403E5C" w:rsidRPr="000F3790">
        <w:rPr>
          <w:rFonts w:ascii="Verdana" w:hAnsi="Verdana"/>
          <w:sz w:val="20"/>
          <w:szCs w:val="20"/>
        </w:rPr>
        <w:lastRenderedPageBreak/>
        <w:t>Russian involvement, Armenian voters endorsed a genuinely sovereign choice and reaffirmed the country’s commitment to a pro-Western path of development.</w:t>
      </w:r>
    </w:p>
    <w:p w14:paraId="524FDBB1" w14:textId="227AAE41" w:rsidR="000F718F" w:rsidRPr="000F3790" w:rsidRDefault="000F718F" w:rsidP="000F3790">
      <w:pPr>
        <w:rPr>
          <w:rFonts w:ascii="Verdana" w:hAnsi="Verdana"/>
          <w:sz w:val="20"/>
          <w:szCs w:val="20"/>
        </w:rPr>
      </w:pPr>
      <w:r w:rsidRPr="000F3790">
        <w:rPr>
          <w:rFonts w:ascii="Verdana" w:hAnsi="Verdana"/>
          <w:sz w:val="20"/>
          <w:szCs w:val="20"/>
        </w:rPr>
        <w:t>Russia suffered a strategic defeat, as neither Karapetyan nor Kocharyan succeeded in challenging the pro-Western majority of Armenian voters. The Kremlin’s unprecedented pressure</w:t>
      </w:r>
      <w:r w:rsidRPr="000F3790">
        <w:rPr>
          <w:rFonts w:ascii="Verdana" w:hAnsi="Verdana"/>
          <w:sz w:val="20"/>
          <w:szCs w:val="20"/>
        </w:rPr>
        <w:t xml:space="preserve">, </w:t>
      </w:r>
      <w:r w:rsidRPr="000F3790">
        <w:rPr>
          <w:rFonts w:ascii="Verdana" w:hAnsi="Verdana"/>
          <w:sz w:val="20"/>
          <w:szCs w:val="20"/>
        </w:rPr>
        <w:t>including threats of a “Ukrainian scenario” and the use of economic coercion</w:t>
      </w:r>
      <w:r w:rsidRPr="000F3790">
        <w:rPr>
          <w:rFonts w:ascii="Verdana" w:hAnsi="Verdana"/>
          <w:sz w:val="20"/>
          <w:szCs w:val="20"/>
        </w:rPr>
        <w:t xml:space="preserve">, </w:t>
      </w:r>
      <w:r w:rsidRPr="000F3790">
        <w:rPr>
          <w:rFonts w:ascii="Verdana" w:hAnsi="Verdana"/>
          <w:sz w:val="20"/>
          <w:szCs w:val="20"/>
        </w:rPr>
        <w:t>failed to weaken Nikol Pashinyan and his supporters. Instead, these measures contributed to their further mobilization and strengthened Pashinyan’s image as a defender of Armenian sovereignty and statehood.</w:t>
      </w:r>
    </w:p>
    <w:p w14:paraId="7F940FBE" w14:textId="1933C633" w:rsidR="004F4E13" w:rsidRPr="000F3790" w:rsidRDefault="004F4E13" w:rsidP="000F3790">
      <w:pPr>
        <w:rPr>
          <w:rFonts w:ascii="Verdana" w:hAnsi="Verdana"/>
          <w:sz w:val="20"/>
          <w:szCs w:val="20"/>
        </w:rPr>
      </w:pPr>
      <w:r w:rsidRPr="000F3790">
        <w:rPr>
          <w:rFonts w:ascii="Verdana" w:hAnsi="Verdana"/>
          <w:sz w:val="20"/>
          <w:szCs w:val="20"/>
        </w:rPr>
        <w:t>The electoral victory of Civil Contract and its parliamentary majority provide Armenia’s pro-European course with a clear democratic mandate to advance further along the path of European integration.</w:t>
      </w:r>
    </w:p>
    <w:p w14:paraId="60F1B119" w14:textId="38B92FEE" w:rsidR="00E81BE5" w:rsidRPr="000F3790" w:rsidRDefault="00373315" w:rsidP="000F3790">
      <w:pPr>
        <w:rPr>
          <w:rFonts w:ascii="Verdana" w:hAnsi="Verdana"/>
          <w:sz w:val="20"/>
          <w:szCs w:val="20"/>
        </w:rPr>
      </w:pPr>
      <w:r w:rsidRPr="000F3790">
        <w:rPr>
          <w:rFonts w:ascii="Verdana" w:hAnsi="Verdana"/>
          <w:sz w:val="20"/>
          <w:szCs w:val="20"/>
        </w:rPr>
        <w:t>Armenia is entering a phase of profound transformation in its security architecture, moving from dependence on Russia toward a more diversified and multilateral security framework. This realignment is likely to reshape not only Armenian domestic and foreign policy but also the broader balance of power in the South Caucasus. For the first time in the post-Soviet era, Armenia</w:t>
      </w:r>
      <w:r w:rsidR="00604F64" w:rsidRPr="000F3790">
        <w:rPr>
          <w:rFonts w:ascii="Verdana" w:hAnsi="Verdana"/>
          <w:sz w:val="20"/>
          <w:szCs w:val="20"/>
        </w:rPr>
        <w:t xml:space="preserve">, </w:t>
      </w:r>
      <w:r w:rsidRPr="000F3790">
        <w:rPr>
          <w:rFonts w:ascii="Verdana" w:hAnsi="Verdana"/>
          <w:sz w:val="20"/>
          <w:szCs w:val="20"/>
        </w:rPr>
        <w:t>and, to a lesser extent, the wider region</w:t>
      </w:r>
      <w:r w:rsidR="00604F64" w:rsidRPr="000F3790">
        <w:rPr>
          <w:rFonts w:ascii="Verdana" w:hAnsi="Verdana"/>
          <w:sz w:val="20"/>
          <w:szCs w:val="20"/>
        </w:rPr>
        <w:t xml:space="preserve">, </w:t>
      </w:r>
      <w:r w:rsidRPr="000F3790">
        <w:rPr>
          <w:rFonts w:ascii="Verdana" w:hAnsi="Verdana"/>
          <w:sz w:val="20"/>
          <w:szCs w:val="20"/>
        </w:rPr>
        <w:t>is beginning to move beyond the logic of Russian dominance.</w:t>
      </w:r>
      <w:r w:rsidR="000F3790">
        <w:rPr>
          <w:rFonts w:ascii="Verdana" w:hAnsi="Verdana"/>
          <w:sz w:val="20"/>
          <w:szCs w:val="20"/>
        </w:rPr>
        <w:t xml:space="preserve"> </w:t>
      </w:r>
      <w:r w:rsidR="00D84D1F" w:rsidRPr="000F3790">
        <w:rPr>
          <w:rFonts w:ascii="Verdana" w:hAnsi="Verdana"/>
          <w:sz w:val="20"/>
          <w:szCs w:val="20"/>
        </w:rPr>
        <w:t>The date of June 7</w:t>
      </w:r>
      <w:r w:rsidR="00D84D1F" w:rsidRPr="000F3790">
        <w:rPr>
          <w:rFonts w:ascii="Verdana" w:hAnsi="Verdana"/>
          <w:sz w:val="20"/>
          <w:szCs w:val="20"/>
        </w:rPr>
        <w:t xml:space="preserve">, </w:t>
      </w:r>
      <w:r w:rsidR="00D84D1F" w:rsidRPr="000F3790">
        <w:rPr>
          <w:rFonts w:ascii="Verdana" w:hAnsi="Verdana"/>
          <w:sz w:val="20"/>
          <w:szCs w:val="20"/>
        </w:rPr>
        <w:t>2026</w:t>
      </w:r>
      <w:r w:rsidR="00D84D1F" w:rsidRPr="000F3790">
        <w:rPr>
          <w:rFonts w:ascii="Verdana" w:hAnsi="Verdana"/>
          <w:sz w:val="20"/>
          <w:szCs w:val="20"/>
        </w:rPr>
        <w:t>,</w:t>
      </w:r>
      <w:r w:rsidR="00D84D1F" w:rsidRPr="000F3790">
        <w:rPr>
          <w:rFonts w:ascii="Verdana" w:hAnsi="Verdana"/>
          <w:sz w:val="20"/>
          <w:szCs w:val="20"/>
        </w:rPr>
        <w:t xml:space="preserve"> may be remembered as the day Armenia chose its own future.</w:t>
      </w:r>
    </w:p>
    <w:p w14:paraId="17012D37" w14:textId="39F6714A" w:rsidR="00550696" w:rsidRPr="000F3790" w:rsidRDefault="00C71537" w:rsidP="000F3790">
      <w:pPr>
        <w:rPr>
          <w:rFonts w:ascii="Verdana" w:hAnsi="Verdana"/>
          <w:sz w:val="20"/>
          <w:szCs w:val="20"/>
        </w:rPr>
      </w:pPr>
      <w:r w:rsidRPr="000F3790">
        <w:rPr>
          <w:rFonts w:ascii="Verdana" w:hAnsi="Verdana"/>
          <w:b/>
          <w:bCs/>
          <w:sz w:val="20"/>
          <w:szCs w:val="20"/>
        </w:rPr>
        <w:t>AUTHOR’S BIO: </w:t>
      </w:r>
      <w:r w:rsidRPr="000F3790">
        <w:rPr>
          <w:rFonts w:ascii="Verdana" w:hAnsi="Verdana"/>
          <w:sz w:val="20"/>
          <w:szCs w:val="20"/>
        </w:rPr>
        <w:t xml:space="preserve">Irakli Laitadze is an Adjunct Professor at Ilia State University (Tbilisi, Georgia) and Senior Fellow of the think-tank EU Awareness Centre (Brussels). He was previously a career diplomat, serving as a senior Counsellor in the Mission of Georgia to the EU and Director of the EU Political Department, Ministry of Foreign Affairs of Georgia. After his diplomatic service, he was the CFO in GMT Hospitality and CEO of Publishing House </w:t>
      </w:r>
      <w:proofErr w:type="spellStart"/>
      <w:r w:rsidRPr="000F3790">
        <w:rPr>
          <w:rFonts w:ascii="Verdana" w:hAnsi="Verdana"/>
          <w:sz w:val="20"/>
          <w:szCs w:val="20"/>
        </w:rPr>
        <w:t>Artanuji</w:t>
      </w:r>
      <w:proofErr w:type="spellEnd"/>
      <w:r w:rsidRPr="000F3790">
        <w:rPr>
          <w:rFonts w:ascii="Verdana" w:hAnsi="Verdana"/>
          <w:sz w:val="20"/>
          <w:szCs w:val="20"/>
        </w:rPr>
        <w:t>. He holds degrees from Tbilisi State University, the Diplomatic School of Madrid (Diploma), and Cambridge University (MBA), and a Ph.D. (Magna cum laude) from Tbilisi Free University. </w:t>
      </w:r>
    </w:p>
    <w:sectPr w:rsidR="00550696" w:rsidRPr="000F3790" w:rsidSect="00550696">
      <w:headerReference w:type="even" r:id="rId21"/>
      <w:headerReference w:type="default" r:id="rId22"/>
      <w:footerReference w:type="even" r:id="rId23"/>
      <w:footerReference w:type="default" r:id="rId24"/>
      <w:headerReference w:type="first" r:id="rId25"/>
      <w:footerReference w:type="first" r:id="rId26"/>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B8B98" w14:textId="77777777" w:rsidR="006F05F8" w:rsidRDefault="006F05F8" w:rsidP="007B06A7">
      <w:pPr>
        <w:spacing w:line="240" w:lineRule="auto"/>
      </w:pPr>
      <w:r>
        <w:separator/>
      </w:r>
    </w:p>
  </w:endnote>
  <w:endnote w:type="continuationSeparator" w:id="0">
    <w:p w14:paraId="45172C69" w14:textId="77777777" w:rsidR="006F05F8" w:rsidRDefault="006F05F8" w:rsidP="007B06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CE09D" w14:textId="77777777" w:rsidR="008A590D" w:rsidRDefault="008A590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3EB96" w14:textId="74A18E6B" w:rsidR="007B06A7" w:rsidRDefault="007B06A7">
    <w:pPr>
      <w:pStyle w:val="Sidfot"/>
      <w:jc w:val="center"/>
    </w:pPr>
  </w:p>
  <w:p w14:paraId="26DF8684" w14:textId="77777777" w:rsidR="007B06A7" w:rsidRDefault="007B06A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35759" w14:textId="77777777" w:rsidR="008A590D" w:rsidRDefault="008A59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8F1B6" w14:textId="77777777" w:rsidR="006F05F8" w:rsidRDefault="006F05F8" w:rsidP="007B06A7">
      <w:pPr>
        <w:spacing w:line="240" w:lineRule="auto"/>
      </w:pPr>
      <w:r>
        <w:separator/>
      </w:r>
    </w:p>
  </w:footnote>
  <w:footnote w:type="continuationSeparator" w:id="0">
    <w:p w14:paraId="6499131A" w14:textId="77777777" w:rsidR="006F05F8" w:rsidRDefault="006F05F8" w:rsidP="007B06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44F7C" w14:textId="77777777" w:rsidR="008A590D" w:rsidRDefault="008A590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A39AD" w14:textId="77777777" w:rsidR="008A590D" w:rsidRDefault="008A590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5E5C8" w14:textId="77777777" w:rsidR="008A590D" w:rsidRDefault="008A590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8E3"/>
    <w:rsid w:val="000033B0"/>
    <w:rsid w:val="00015E7B"/>
    <w:rsid w:val="000232C3"/>
    <w:rsid w:val="00032493"/>
    <w:rsid w:val="00034903"/>
    <w:rsid w:val="00055993"/>
    <w:rsid w:val="00073715"/>
    <w:rsid w:val="000B28E9"/>
    <w:rsid w:val="000B4C4D"/>
    <w:rsid w:val="000B737F"/>
    <w:rsid w:val="000C2B61"/>
    <w:rsid w:val="000D2B3B"/>
    <w:rsid w:val="000D364F"/>
    <w:rsid w:val="000E13E6"/>
    <w:rsid w:val="000E33B4"/>
    <w:rsid w:val="000E4B74"/>
    <w:rsid w:val="000F3790"/>
    <w:rsid w:val="000F718F"/>
    <w:rsid w:val="00102C3C"/>
    <w:rsid w:val="00114AC4"/>
    <w:rsid w:val="00155912"/>
    <w:rsid w:val="00157E8C"/>
    <w:rsid w:val="001A59B5"/>
    <w:rsid w:val="001B248D"/>
    <w:rsid w:val="001D01E3"/>
    <w:rsid w:val="001E6562"/>
    <w:rsid w:val="00207BB4"/>
    <w:rsid w:val="00215ED3"/>
    <w:rsid w:val="00216DDC"/>
    <w:rsid w:val="00237EF9"/>
    <w:rsid w:val="00242E0B"/>
    <w:rsid w:val="00277595"/>
    <w:rsid w:val="0029144B"/>
    <w:rsid w:val="00296F09"/>
    <w:rsid w:val="002E3571"/>
    <w:rsid w:val="00306342"/>
    <w:rsid w:val="003479AD"/>
    <w:rsid w:val="003578E6"/>
    <w:rsid w:val="00367F55"/>
    <w:rsid w:val="00373315"/>
    <w:rsid w:val="003A24A2"/>
    <w:rsid w:val="003B264B"/>
    <w:rsid w:val="003B2AA4"/>
    <w:rsid w:val="003D41F5"/>
    <w:rsid w:val="00403E5C"/>
    <w:rsid w:val="004068BF"/>
    <w:rsid w:val="0042159F"/>
    <w:rsid w:val="00430979"/>
    <w:rsid w:val="00446070"/>
    <w:rsid w:val="00486313"/>
    <w:rsid w:val="0049638B"/>
    <w:rsid w:val="004A7C40"/>
    <w:rsid w:val="004C18E3"/>
    <w:rsid w:val="004C7671"/>
    <w:rsid w:val="004F4E13"/>
    <w:rsid w:val="00514B00"/>
    <w:rsid w:val="00521AA8"/>
    <w:rsid w:val="00550696"/>
    <w:rsid w:val="00554125"/>
    <w:rsid w:val="00560367"/>
    <w:rsid w:val="00565782"/>
    <w:rsid w:val="00585DDD"/>
    <w:rsid w:val="005A367D"/>
    <w:rsid w:val="005C487D"/>
    <w:rsid w:val="00604F64"/>
    <w:rsid w:val="006129FE"/>
    <w:rsid w:val="00652434"/>
    <w:rsid w:val="00697510"/>
    <w:rsid w:val="006B63E8"/>
    <w:rsid w:val="006D0289"/>
    <w:rsid w:val="006E6DDB"/>
    <w:rsid w:val="006E7DF5"/>
    <w:rsid w:val="006F05F8"/>
    <w:rsid w:val="006F1402"/>
    <w:rsid w:val="006F239D"/>
    <w:rsid w:val="00747968"/>
    <w:rsid w:val="00760AC1"/>
    <w:rsid w:val="007632CC"/>
    <w:rsid w:val="0077152C"/>
    <w:rsid w:val="007907E3"/>
    <w:rsid w:val="007B06A7"/>
    <w:rsid w:val="007E3AE5"/>
    <w:rsid w:val="00861F89"/>
    <w:rsid w:val="0087259D"/>
    <w:rsid w:val="00872FD0"/>
    <w:rsid w:val="00880FCF"/>
    <w:rsid w:val="008A590D"/>
    <w:rsid w:val="008E11A5"/>
    <w:rsid w:val="00915EB7"/>
    <w:rsid w:val="00941CDC"/>
    <w:rsid w:val="0095246D"/>
    <w:rsid w:val="009533C7"/>
    <w:rsid w:val="00957B70"/>
    <w:rsid w:val="009669B0"/>
    <w:rsid w:val="00972801"/>
    <w:rsid w:val="009877FF"/>
    <w:rsid w:val="009B582C"/>
    <w:rsid w:val="009F31C3"/>
    <w:rsid w:val="00A058C2"/>
    <w:rsid w:val="00A33A63"/>
    <w:rsid w:val="00A7163B"/>
    <w:rsid w:val="00A970AE"/>
    <w:rsid w:val="00A97C1E"/>
    <w:rsid w:val="00AD4EA3"/>
    <w:rsid w:val="00AD66C6"/>
    <w:rsid w:val="00AE6C53"/>
    <w:rsid w:val="00AF5A66"/>
    <w:rsid w:val="00B0728E"/>
    <w:rsid w:val="00B231A0"/>
    <w:rsid w:val="00B46A03"/>
    <w:rsid w:val="00B4754B"/>
    <w:rsid w:val="00B7000F"/>
    <w:rsid w:val="00BD3C7C"/>
    <w:rsid w:val="00C25DA1"/>
    <w:rsid w:val="00C71537"/>
    <w:rsid w:val="00C773C5"/>
    <w:rsid w:val="00C8507E"/>
    <w:rsid w:val="00CF1A1B"/>
    <w:rsid w:val="00CF47CA"/>
    <w:rsid w:val="00D1219C"/>
    <w:rsid w:val="00D209A4"/>
    <w:rsid w:val="00D37CD8"/>
    <w:rsid w:val="00D429F2"/>
    <w:rsid w:val="00D45A08"/>
    <w:rsid w:val="00D603B9"/>
    <w:rsid w:val="00D6343E"/>
    <w:rsid w:val="00D76DC8"/>
    <w:rsid w:val="00D84D1F"/>
    <w:rsid w:val="00D86E3C"/>
    <w:rsid w:val="00DB6EE2"/>
    <w:rsid w:val="00DB7308"/>
    <w:rsid w:val="00DD3305"/>
    <w:rsid w:val="00DF29B2"/>
    <w:rsid w:val="00DF7803"/>
    <w:rsid w:val="00E75C2B"/>
    <w:rsid w:val="00E80B89"/>
    <w:rsid w:val="00E81BE5"/>
    <w:rsid w:val="00EC124E"/>
    <w:rsid w:val="00ED1C65"/>
    <w:rsid w:val="00EE055D"/>
    <w:rsid w:val="00F0548E"/>
    <w:rsid w:val="00F128F4"/>
    <w:rsid w:val="00F3684A"/>
    <w:rsid w:val="00F37436"/>
    <w:rsid w:val="00F9117E"/>
    <w:rsid w:val="00F96258"/>
    <w:rsid w:val="00FD5635"/>
    <w:rsid w:val="00FD7C64"/>
    <w:rsid w:val="00FE290A"/>
    <w:rsid w:val="00FF3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CA8B7"/>
  <w15:chartTrackingRefBased/>
  <w15:docId w15:val="{4CDD7A46-007E-41B8-AC26-183909B7C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kern w:val="2"/>
        <w:sz w:val="24"/>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4C18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4C18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4C18E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4C18E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Rubrik5">
    <w:name w:val="heading 5"/>
    <w:basedOn w:val="Normal"/>
    <w:next w:val="Normal"/>
    <w:link w:val="Rubrik5Char"/>
    <w:uiPriority w:val="9"/>
    <w:semiHidden/>
    <w:unhideWhenUsed/>
    <w:qFormat/>
    <w:rsid w:val="004C18E3"/>
    <w:pPr>
      <w:keepNext/>
      <w:keepLines/>
      <w:spacing w:before="80" w:after="40"/>
      <w:outlineLvl w:val="4"/>
    </w:pPr>
    <w:rPr>
      <w:rFonts w:asciiTheme="minorHAnsi" w:eastAsiaTheme="majorEastAsia" w:hAnsiTheme="minorHAnsi" w:cstheme="majorBidi"/>
      <w:color w:val="0F4761" w:themeColor="accent1" w:themeShade="BF"/>
    </w:rPr>
  </w:style>
  <w:style w:type="paragraph" w:styleId="Rubrik6">
    <w:name w:val="heading 6"/>
    <w:basedOn w:val="Normal"/>
    <w:next w:val="Normal"/>
    <w:link w:val="Rubrik6Char"/>
    <w:uiPriority w:val="9"/>
    <w:semiHidden/>
    <w:unhideWhenUsed/>
    <w:qFormat/>
    <w:rsid w:val="004C18E3"/>
    <w:pPr>
      <w:keepNext/>
      <w:keepLines/>
      <w:spacing w:before="40"/>
      <w:outlineLvl w:val="5"/>
    </w:pPr>
    <w:rPr>
      <w:rFonts w:asciiTheme="minorHAnsi" w:eastAsiaTheme="majorEastAsia" w:hAnsiTheme="minorHAnsi" w:cstheme="majorBidi"/>
      <w:i/>
      <w:iCs/>
      <w:color w:val="595959" w:themeColor="text1" w:themeTint="A6"/>
    </w:rPr>
  </w:style>
  <w:style w:type="paragraph" w:styleId="Rubrik7">
    <w:name w:val="heading 7"/>
    <w:basedOn w:val="Normal"/>
    <w:next w:val="Normal"/>
    <w:link w:val="Rubrik7Char"/>
    <w:uiPriority w:val="9"/>
    <w:semiHidden/>
    <w:unhideWhenUsed/>
    <w:qFormat/>
    <w:rsid w:val="004C18E3"/>
    <w:pPr>
      <w:keepNext/>
      <w:keepLines/>
      <w:spacing w:before="40"/>
      <w:outlineLvl w:val="6"/>
    </w:pPr>
    <w:rPr>
      <w:rFonts w:asciiTheme="minorHAnsi" w:eastAsiaTheme="majorEastAsia" w:hAnsiTheme="minorHAnsi" w:cstheme="majorBidi"/>
      <w:color w:val="595959" w:themeColor="text1" w:themeTint="A6"/>
    </w:rPr>
  </w:style>
  <w:style w:type="paragraph" w:styleId="Rubrik8">
    <w:name w:val="heading 8"/>
    <w:basedOn w:val="Normal"/>
    <w:next w:val="Normal"/>
    <w:link w:val="Rubrik8Char"/>
    <w:uiPriority w:val="9"/>
    <w:semiHidden/>
    <w:unhideWhenUsed/>
    <w:qFormat/>
    <w:rsid w:val="004C18E3"/>
    <w:pPr>
      <w:keepNext/>
      <w:keepLines/>
      <w:outlineLvl w:val="7"/>
    </w:pPr>
    <w:rPr>
      <w:rFonts w:asciiTheme="minorHAnsi" w:eastAsiaTheme="majorEastAsia" w:hAnsiTheme="minorHAnsi" w:cstheme="majorBidi"/>
      <w:i/>
      <w:iCs/>
      <w:color w:val="272727" w:themeColor="text1" w:themeTint="D8"/>
    </w:rPr>
  </w:style>
  <w:style w:type="paragraph" w:styleId="Rubrik9">
    <w:name w:val="heading 9"/>
    <w:basedOn w:val="Normal"/>
    <w:next w:val="Normal"/>
    <w:link w:val="Rubrik9Char"/>
    <w:uiPriority w:val="9"/>
    <w:semiHidden/>
    <w:unhideWhenUsed/>
    <w:qFormat/>
    <w:rsid w:val="004C18E3"/>
    <w:pPr>
      <w:keepNext/>
      <w:keepLines/>
      <w:outlineLvl w:val="8"/>
    </w:pPr>
    <w:rPr>
      <w:rFonts w:asciiTheme="minorHAnsi" w:eastAsiaTheme="majorEastAsia" w:hAnsiTheme="minorHAnsi"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C18E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4C18E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4C18E3"/>
    <w:rPr>
      <w:rFonts w:asciiTheme="minorHAnsi" w:eastAsiaTheme="majorEastAsia" w:hAnsiTheme="minorHAnsi"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4C18E3"/>
    <w:rPr>
      <w:rFonts w:asciiTheme="minorHAnsi" w:eastAsiaTheme="majorEastAsia" w:hAnsiTheme="minorHAnsi" w:cstheme="majorBidi"/>
      <w:i/>
      <w:iCs/>
      <w:color w:val="0F4761" w:themeColor="accent1" w:themeShade="BF"/>
    </w:rPr>
  </w:style>
  <w:style w:type="character" w:customStyle="1" w:styleId="Rubrik5Char">
    <w:name w:val="Rubrik 5 Char"/>
    <w:basedOn w:val="Standardstycketeckensnitt"/>
    <w:link w:val="Rubrik5"/>
    <w:uiPriority w:val="9"/>
    <w:semiHidden/>
    <w:rsid w:val="004C18E3"/>
    <w:rPr>
      <w:rFonts w:asciiTheme="minorHAnsi" w:eastAsiaTheme="majorEastAsia" w:hAnsiTheme="minorHAnsi" w:cstheme="majorBidi"/>
      <w:color w:val="0F4761" w:themeColor="accent1" w:themeShade="BF"/>
    </w:rPr>
  </w:style>
  <w:style w:type="character" w:customStyle="1" w:styleId="Rubrik6Char">
    <w:name w:val="Rubrik 6 Char"/>
    <w:basedOn w:val="Standardstycketeckensnitt"/>
    <w:link w:val="Rubrik6"/>
    <w:uiPriority w:val="9"/>
    <w:semiHidden/>
    <w:rsid w:val="004C18E3"/>
    <w:rPr>
      <w:rFonts w:asciiTheme="minorHAnsi" w:eastAsiaTheme="majorEastAsia" w:hAnsiTheme="minorHAnsi" w:cstheme="majorBidi"/>
      <w:i/>
      <w:iCs/>
      <w:color w:val="595959" w:themeColor="text1" w:themeTint="A6"/>
    </w:rPr>
  </w:style>
  <w:style w:type="character" w:customStyle="1" w:styleId="Rubrik7Char">
    <w:name w:val="Rubrik 7 Char"/>
    <w:basedOn w:val="Standardstycketeckensnitt"/>
    <w:link w:val="Rubrik7"/>
    <w:uiPriority w:val="9"/>
    <w:semiHidden/>
    <w:rsid w:val="004C18E3"/>
    <w:rPr>
      <w:rFonts w:asciiTheme="minorHAnsi" w:eastAsiaTheme="majorEastAsia" w:hAnsiTheme="minorHAnsi" w:cstheme="majorBidi"/>
      <w:color w:val="595959" w:themeColor="text1" w:themeTint="A6"/>
    </w:rPr>
  </w:style>
  <w:style w:type="character" w:customStyle="1" w:styleId="Rubrik8Char">
    <w:name w:val="Rubrik 8 Char"/>
    <w:basedOn w:val="Standardstycketeckensnitt"/>
    <w:link w:val="Rubrik8"/>
    <w:uiPriority w:val="9"/>
    <w:semiHidden/>
    <w:rsid w:val="004C18E3"/>
    <w:rPr>
      <w:rFonts w:asciiTheme="minorHAnsi" w:eastAsiaTheme="majorEastAsia" w:hAnsiTheme="minorHAnsi" w:cstheme="majorBidi"/>
      <w:i/>
      <w:iCs/>
      <w:color w:val="272727" w:themeColor="text1" w:themeTint="D8"/>
    </w:rPr>
  </w:style>
  <w:style w:type="character" w:customStyle="1" w:styleId="Rubrik9Char">
    <w:name w:val="Rubrik 9 Char"/>
    <w:basedOn w:val="Standardstycketeckensnitt"/>
    <w:link w:val="Rubrik9"/>
    <w:uiPriority w:val="9"/>
    <w:semiHidden/>
    <w:rsid w:val="004C18E3"/>
    <w:rPr>
      <w:rFonts w:asciiTheme="minorHAnsi" w:eastAsiaTheme="majorEastAsia" w:hAnsiTheme="minorHAnsi" w:cstheme="majorBidi"/>
      <w:color w:val="272727" w:themeColor="text1" w:themeTint="D8"/>
    </w:rPr>
  </w:style>
  <w:style w:type="paragraph" w:styleId="Rubrik">
    <w:name w:val="Title"/>
    <w:basedOn w:val="Normal"/>
    <w:next w:val="Normal"/>
    <w:link w:val="RubrikChar"/>
    <w:uiPriority w:val="10"/>
    <w:qFormat/>
    <w:rsid w:val="004C18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C18E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4C18E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4C18E3"/>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har"/>
    <w:uiPriority w:val="29"/>
    <w:qFormat/>
    <w:rsid w:val="004C18E3"/>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4C18E3"/>
    <w:rPr>
      <w:i/>
      <w:iCs/>
      <w:color w:val="404040" w:themeColor="text1" w:themeTint="BF"/>
    </w:rPr>
  </w:style>
  <w:style w:type="paragraph" w:styleId="Liststycke">
    <w:name w:val="List Paragraph"/>
    <w:basedOn w:val="Normal"/>
    <w:uiPriority w:val="34"/>
    <w:qFormat/>
    <w:rsid w:val="004C18E3"/>
    <w:pPr>
      <w:ind w:left="720"/>
      <w:contextualSpacing/>
    </w:pPr>
  </w:style>
  <w:style w:type="character" w:styleId="Starkbetoning">
    <w:name w:val="Intense Emphasis"/>
    <w:basedOn w:val="Standardstycketeckensnitt"/>
    <w:uiPriority w:val="21"/>
    <w:qFormat/>
    <w:rsid w:val="004C18E3"/>
    <w:rPr>
      <w:i/>
      <w:iCs/>
      <w:color w:val="0F4761" w:themeColor="accent1" w:themeShade="BF"/>
    </w:rPr>
  </w:style>
  <w:style w:type="paragraph" w:styleId="Starktcitat">
    <w:name w:val="Intense Quote"/>
    <w:basedOn w:val="Normal"/>
    <w:next w:val="Normal"/>
    <w:link w:val="StarktcitatChar"/>
    <w:uiPriority w:val="30"/>
    <w:qFormat/>
    <w:rsid w:val="004C18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4C18E3"/>
    <w:rPr>
      <w:i/>
      <w:iCs/>
      <w:color w:val="0F4761" w:themeColor="accent1" w:themeShade="BF"/>
    </w:rPr>
  </w:style>
  <w:style w:type="character" w:styleId="Starkreferens">
    <w:name w:val="Intense Reference"/>
    <w:basedOn w:val="Standardstycketeckensnitt"/>
    <w:uiPriority w:val="32"/>
    <w:qFormat/>
    <w:rsid w:val="004C18E3"/>
    <w:rPr>
      <w:b/>
      <w:bCs/>
      <w:smallCaps/>
      <w:color w:val="0F4761" w:themeColor="accent1" w:themeShade="BF"/>
      <w:spacing w:val="5"/>
    </w:rPr>
  </w:style>
  <w:style w:type="character" w:styleId="Hyperlnk">
    <w:name w:val="Hyperlink"/>
    <w:basedOn w:val="Standardstycketeckensnitt"/>
    <w:uiPriority w:val="99"/>
    <w:unhideWhenUsed/>
    <w:rsid w:val="004C18E3"/>
    <w:rPr>
      <w:color w:val="467886" w:themeColor="hyperlink"/>
      <w:u w:val="single"/>
    </w:rPr>
  </w:style>
  <w:style w:type="character" w:styleId="Olstomnmnande">
    <w:name w:val="Unresolved Mention"/>
    <w:basedOn w:val="Standardstycketeckensnitt"/>
    <w:uiPriority w:val="99"/>
    <w:semiHidden/>
    <w:unhideWhenUsed/>
    <w:rsid w:val="004C18E3"/>
    <w:rPr>
      <w:color w:val="605E5C"/>
      <w:shd w:val="clear" w:color="auto" w:fill="E1DFDD"/>
    </w:rPr>
  </w:style>
  <w:style w:type="paragraph" w:styleId="Sidhuvud">
    <w:name w:val="header"/>
    <w:basedOn w:val="Normal"/>
    <w:link w:val="SidhuvudChar"/>
    <w:uiPriority w:val="99"/>
    <w:unhideWhenUsed/>
    <w:rsid w:val="007B06A7"/>
    <w:pPr>
      <w:tabs>
        <w:tab w:val="center" w:pos="4680"/>
        <w:tab w:val="right" w:pos="9360"/>
      </w:tabs>
      <w:spacing w:line="240" w:lineRule="auto"/>
    </w:pPr>
  </w:style>
  <w:style w:type="character" w:customStyle="1" w:styleId="SidhuvudChar">
    <w:name w:val="Sidhuvud Char"/>
    <w:basedOn w:val="Standardstycketeckensnitt"/>
    <w:link w:val="Sidhuvud"/>
    <w:uiPriority w:val="99"/>
    <w:rsid w:val="007B06A7"/>
  </w:style>
  <w:style w:type="paragraph" w:styleId="Sidfot">
    <w:name w:val="footer"/>
    <w:basedOn w:val="Normal"/>
    <w:link w:val="SidfotChar"/>
    <w:uiPriority w:val="99"/>
    <w:unhideWhenUsed/>
    <w:rsid w:val="007B06A7"/>
    <w:pPr>
      <w:tabs>
        <w:tab w:val="center" w:pos="4680"/>
        <w:tab w:val="right" w:pos="9360"/>
      </w:tabs>
      <w:spacing w:line="240" w:lineRule="auto"/>
    </w:pPr>
  </w:style>
  <w:style w:type="character" w:customStyle="1" w:styleId="SidfotChar">
    <w:name w:val="Sidfot Char"/>
    <w:basedOn w:val="Standardstycketeckensnitt"/>
    <w:link w:val="Sidfot"/>
    <w:uiPriority w:val="99"/>
    <w:rsid w:val="007B06A7"/>
  </w:style>
  <w:style w:type="character" w:styleId="AnvndHyperlnk">
    <w:name w:val="FollowedHyperlink"/>
    <w:basedOn w:val="Standardstycketeckensnitt"/>
    <w:uiPriority w:val="99"/>
    <w:semiHidden/>
    <w:unhideWhenUsed/>
    <w:rsid w:val="00D603B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menpress.am/ru/article/1215464" TargetMode="External"/><Relationship Id="rId13" Type="http://schemas.openxmlformats.org/officeDocument/2006/relationships/hyperlink" Target="https://meduza.io/feature/2026/06/01/do-vyborov-v-armenii-nedelya-chem-zanimaetsya-kreml-ugrozhaet-zapreschaet-trebuet-i-snova-ugrozhaet-erevanu" TargetMode="External"/><Relationship Id="rId18" Type="http://schemas.openxmlformats.org/officeDocument/2006/relationships/hyperlink" Target="https://armenpress.am/ru/article/1249188"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civilnet.am/ru/news/1012422" TargetMode="External"/><Relationship Id="rId12" Type="http://schemas.openxmlformats.org/officeDocument/2006/relationships/hyperlink" Target="https://commersant.ge/en/news/worl/rosselkhoznadzor-to-temporarily-restrict-imports-of-tomatoes-cucumbers-peppers-and-strawberries-from-armenia" TargetMode="External"/><Relationship Id="rId17" Type="http://schemas.openxmlformats.org/officeDocument/2006/relationships/hyperlink" Target="https://meduza.io/feature/2026/06/07/kak-proshli-vybory-v-armenii-ekzit-poly-otdayut-pobedu-pashinyanu-yavka-byla-vysokoy-a-den-golosovaniya-soprovozhdalsya-arestami-storonnikov-prorossiyskogo-bloka"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armeniatoday.am/politics-ru/1079121/" TargetMode="External"/><Relationship Id="rId20" Type="http://schemas.openxmlformats.org/officeDocument/2006/relationships/hyperlink" Target="https://armenpress.am/en/article/125230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uza.io/news/2026/05/22/vlasti-rossii-zapretili-vvozit-iz-armenii-mineralnuyu-vodu-dzhermuk-vsled-za-zapretom-tsvetov"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armenpress.am/en/article/1251392?ut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rbc.ua/ukr/news/rosiya-hoche-prograshu-pashinyana-virmeniyi-1780053674.html" TargetMode="External"/><Relationship Id="rId19" Type="http://schemas.openxmlformats.org/officeDocument/2006/relationships/hyperlink" Target="https://www.mfa.am/en/interviews-articles-and-comments/2026/05/13/Armenia_Turkiye/13954" TargetMode="External"/><Relationship Id="rId4" Type="http://schemas.openxmlformats.org/officeDocument/2006/relationships/webSettings" Target="webSettings.xml"/><Relationship Id="rId9" Type="http://schemas.openxmlformats.org/officeDocument/2006/relationships/hyperlink" Target="https://news.am/ru/news/1035003" TargetMode="External"/><Relationship Id="rId14" Type="http://schemas.openxmlformats.org/officeDocument/2006/relationships/hyperlink" Target="https://theins.ru/inv/292503"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ec6d502-3fa5-48b7-84da-dc5b378a28f1}" enabled="1" method="Standard" siteId="{bb218a9a-130d-42b3-8ea2-07fcd372a069}" removed="0"/>
</clbl:labelList>
</file>

<file path=docProps/app.xml><?xml version="1.0" encoding="utf-8"?>
<Properties xmlns="http://schemas.openxmlformats.org/officeDocument/2006/extended-properties" xmlns:vt="http://schemas.openxmlformats.org/officeDocument/2006/docPropsVTypes">
  <Template>Normal</Template>
  <TotalTime>44</TotalTime>
  <Pages>3</Pages>
  <Words>1773</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Irakli Laitadze</dc:creator>
  <cp:keywords/>
  <dc:description/>
  <cp:lastModifiedBy>Nilsson Niklas</cp:lastModifiedBy>
  <cp:revision>58</cp:revision>
  <dcterms:created xsi:type="dcterms:W3CDTF">2026-06-17T09:49:00Z</dcterms:created>
  <dcterms:modified xsi:type="dcterms:W3CDTF">2026-06-17T10:33:00Z</dcterms:modified>
</cp:coreProperties>
</file>